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6345"/>
        <w:gridCol w:w="3969"/>
      </w:tblGrid>
      <w:tr>
        <w:tblPrEx/>
        <w:trPr/>
        <w:tc>
          <w:tcPr>
            <w:tcBorders>
              <w:top w:val="none" w:color="000000" w:sz="0" w:space="0"/>
              <w:left w:val="none" w:color="000000" w:sz="0" w:space="0"/>
              <w:bottom w:val="none" w:color="000000" w:sz="0" w:space="0"/>
              <w:right w:val="none" w:color="000000" w:sz="0" w:space="0"/>
            </w:tcBorders>
            <w:tcW w:w="6345" w:type="dxa"/>
            <w:vAlign w:val="top"/>
            <w:textDirection w:val="lrTb"/>
            <w:noWrap w:val="false"/>
          </w:tcPr>
          <w:p>
            <w:pPr>
              <w:pStyle w:val="670"/>
              <w:spacing w:after="0" w:line="240" w:lineRule="auto"/>
              <w:tabs>
                <w:tab w:val="left" w:pos="6804" w:leader="none"/>
              </w:tabs>
              <w:rPr>
                <w:rFonts w:ascii="Times New Roman CYR" w:hAnsi="Times New Roman CYR" w:eastAsia="Times New Roman" w:cs="Times New Roman CYR"/>
                <w:sz w:val="26"/>
                <w:szCs w:val="26"/>
                <w:u w:val="single"/>
              </w:rPr>
            </w:pPr>
            <w:r>
              <w:rPr>
                <w:rFonts w:ascii="Times New Roman CYR" w:hAnsi="Times New Roman CYR" w:eastAsia="Times New Roman" w:cs="Times New Roman CYR"/>
                <w:sz w:val="26"/>
                <w:szCs w:val="26"/>
                <w:u w:val="single"/>
              </w:rPr>
              <w:t xml:space="preserve">СО ТЗ.0001/0</w:t>
            </w:r>
            <w:r>
              <w:rPr>
                <w:rFonts w:ascii="Times New Roman CYR" w:hAnsi="Times New Roman CYR" w:eastAsia="Times New Roman" w:cs="Times New Roman CYR"/>
                <w:sz w:val="26"/>
                <w:szCs w:val="26"/>
                <w:u w:val="single"/>
              </w:rPr>
            </w:r>
            <w:r>
              <w:rPr>
                <w:rFonts w:ascii="Times New Roman CYR" w:hAnsi="Times New Roman CYR" w:eastAsia="Times New Roman" w:cs="Times New Roman CYR"/>
                <w:sz w:val="26"/>
                <w:szCs w:val="26"/>
                <w:u w:val="single"/>
              </w:rPr>
            </w:r>
          </w:p>
        </w:tc>
        <w:tc>
          <w:tcPr>
            <w:tcBorders>
              <w:top w:val="none" w:color="000000" w:sz="0" w:space="0"/>
              <w:left w:val="none" w:color="000000" w:sz="0" w:space="0"/>
              <w:bottom w:val="none" w:color="000000" w:sz="0" w:space="0"/>
              <w:right w:val="none" w:color="000000" w:sz="0" w:space="0"/>
            </w:tcBorders>
            <w:tcW w:w="3969" w:type="dxa"/>
            <w:vAlign w:val="top"/>
            <w:textDirection w:val="lrTb"/>
            <w:noWrap w:val="false"/>
          </w:tcPr>
          <w:p>
            <w:pPr>
              <w:pStyle w:val="670"/>
              <w:ind w:hanging="108"/>
              <w:spacing w:after="0" w:line="240" w:lineRule="auto"/>
              <w:tabs>
                <w:tab w:val="left" w:pos="6804"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УТВЕРЖДАЮ:</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Заместитель директора</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по техническим вопросам</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главный инженер</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 </w:t>
            </w:r>
            <w:r>
              <w:rPr>
                <w:rFonts w:ascii="Times New Roman CYR" w:hAnsi="Times New Roman CYR" w:eastAsia="Times New Roman" w:cs="Times New Roman CYR"/>
                <w:sz w:val="26"/>
                <w:szCs w:val="26"/>
              </w:rPr>
              <w:t xml:space="preserve">А.И. Таранков</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«___»___________ 20</w:t>
            </w:r>
            <w:r>
              <w:rPr>
                <w:rFonts w:ascii="Times New Roman CYR" w:hAnsi="Times New Roman CYR" w:eastAsia="Times New Roman" w:cs="Times New Roman CYR"/>
                <w:sz w:val="26"/>
                <w:szCs w:val="26"/>
              </w:rPr>
              <w:t xml:space="preserve">2</w:t>
            </w:r>
            <w:r>
              <w:rPr>
                <w:rFonts w:ascii="Times New Roman CYR" w:hAnsi="Times New Roman CYR" w:eastAsia="Times New Roman" w:cs="Times New Roman CYR"/>
                <w:sz w:val="26"/>
                <w:szCs w:val="26"/>
              </w:rPr>
              <w:t xml:space="preserve">5</w:t>
            </w:r>
            <w:r>
              <w:rPr>
                <w:rFonts w:ascii="Times New Roman CYR" w:hAnsi="Times New Roman CYR" w:eastAsia="Times New Roman" w:cs="Times New Roman CYR"/>
                <w:sz w:val="26"/>
                <w:szCs w:val="26"/>
              </w:rPr>
              <w:t xml:space="preserve"> г.</w:t>
            </w:r>
            <w:r>
              <w:rPr>
                <w:rFonts w:ascii="Times New Roman CYR" w:hAnsi="Times New Roman CYR" w:eastAsia="Times New Roman" w:cs="Times New Roman CYR"/>
                <w:sz w:val="26"/>
                <w:szCs w:val="26"/>
              </w:rPr>
            </w:r>
          </w:p>
          <w:p>
            <w:pPr>
              <w:pStyle w:val="670"/>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bl>
    <w:p>
      <w:pPr>
        <w:pStyle w:val="670"/>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670"/>
        <w:jc w:val="center"/>
        <w:spacing w:after="0" w:line="240" w:lineRule="auto"/>
        <w:rPr>
          <w:rFonts w:ascii="Times New Roman" w:hAnsi="Times New Roman" w:eastAsia="Times New Roman"/>
          <w:sz w:val="26"/>
          <w:szCs w:val="26"/>
        </w:rPr>
      </w:pPr>
      <w:r>
        <w:rPr>
          <w:rFonts w:ascii="Times New Roman" w:hAnsi="Times New Roman" w:eastAsia="Times New Roman"/>
          <w:b/>
          <w:bCs/>
          <w:sz w:val="26"/>
          <w:szCs w:val="26"/>
        </w:rPr>
        <w:t xml:space="preserve">ТЕХНИЧЕСКОЕ ЗАДАНИЕ</w:t>
      </w:r>
      <w:r>
        <w:rPr>
          <w:rFonts w:ascii="Times New Roman" w:hAnsi="Times New Roman" w:eastAsia="Times New Roman"/>
          <w:sz w:val="26"/>
          <w:szCs w:val="26"/>
        </w:rPr>
      </w:r>
      <w:r>
        <w:rPr>
          <w:rFonts w:ascii="Times New Roman" w:hAnsi="Times New Roman" w:eastAsia="Times New Roman"/>
          <w:sz w:val="26"/>
          <w:szCs w:val="26"/>
        </w:rPr>
      </w:r>
    </w:p>
    <w:p>
      <w:pPr>
        <w:pStyle w:val="670"/>
        <w:jc w:val="center"/>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на проведение закупки на поставку </w:t>
      </w:r>
      <w:r>
        <w:rPr>
          <w:rFonts w:ascii="Times New Roman" w:hAnsi="Times New Roman" w:eastAsia="Times New Roman"/>
          <w:sz w:val="26"/>
          <w:szCs w:val="26"/>
        </w:rPr>
        <w:t xml:space="preserve">предохранителей</w:t>
      </w:r>
      <w:r>
        <w:rPr>
          <w:rFonts w:ascii="Times New Roman" w:hAnsi="Times New Roman" w:eastAsia="Times New Roman"/>
          <w:sz w:val="26"/>
          <w:szCs w:val="26"/>
        </w:rPr>
      </w:r>
      <w:r>
        <w:rPr>
          <w:rFonts w:ascii="Times New Roman" w:hAnsi="Times New Roman" w:eastAsia="Times New Roman"/>
          <w:sz w:val="26"/>
          <w:szCs w:val="26"/>
        </w:rPr>
      </w:r>
    </w:p>
    <w:p>
      <w:pPr>
        <w:pStyle w:val="670"/>
        <w:ind w:left="708"/>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Общие положения.</w:t>
      </w:r>
      <w:r>
        <w:rPr>
          <w:rFonts w:ascii="Times New Roman" w:hAnsi="Times New Roman" w:eastAsia="Times New Roman"/>
          <w:b/>
          <w:bCs/>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Заказчик: </w:t>
      </w:r>
      <w:r>
        <w:rPr>
          <w:rFonts w:ascii="Times New Roman" w:hAnsi="Times New Roman" w:eastAsia="Times New Roman"/>
          <w:sz w:val="26"/>
          <w:szCs w:val="26"/>
        </w:rPr>
        <w:t xml:space="preserve">АО «Россети Сибирь Тываэнерго»</w:t>
      </w:r>
      <w:r>
        <w:rPr>
          <w:rFonts w:ascii="Times New Roman" w:hAnsi="Times New Roman" w:eastAsia="Times New Roman"/>
          <w:i/>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Предмет закупки: </w:t>
      </w:r>
      <w:r>
        <w:rPr>
          <w:rFonts w:ascii="Times New Roman" w:hAnsi="Times New Roman" w:eastAsia="Times New Roman"/>
          <w:sz w:val="26"/>
          <w:szCs w:val="26"/>
        </w:rPr>
        <w:t xml:space="preserve">Поставка предохранителей</w:t>
      </w:r>
      <w:r>
        <w:rPr>
          <w:rFonts w:ascii="Times New Roman" w:hAnsi="Times New Roman" w:eastAsia="Times New Roman"/>
          <w:i/>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Место, срок и условия поставки.</w:t>
      </w:r>
      <w:r>
        <w:rPr>
          <w:rFonts w:ascii="Times New Roman" w:hAnsi="Times New Roman" w:eastAsia="Times New Roman"/>
          <w:b/>
          <w:bCs/>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Место поставки: </w:t>
      </w:r>
      <w:r>
        <w:rPr>
          <w:rFonts w:ascii="Times New Roman" w:hAnsi="Times New Roman" w:eastAsia="Times New Roman"/>
          <w:sz w:val="26"/>
          <w:szCs w:val="26"/>
        </w:rPr>
        <w:t xml:space="preserve">Центральный склад</w:t>
      </w:r>
      <w:r>
        <w:rPr>
          <w:rFonts w:ascii="Times New Roman CYR" w:hAnsi="Times New Roman CYR" w:eastAsia="Times New Roman" w:cs="Times New Roman CYR"/>
          <w:sz w:val="26"/>
          <w:szCs w:val="26"/>
        </w:rPr>
        <w:t xml:space="preserve">, г. Кызыл. Ул. Колхозная 2</w:t>
      </w:r>
      <w:r>
        <w:rPr>
          <w:rFonts w:ascii="Times New Roman CYR" w:hAnsi="Times New Roman CYR" w:eastAsia="Times New Roman" w:cs="Times New Roman CYR"/>
          <w:sz w:val="26"/>
          <w:szCs w:val="26"/>
        </w:rPr>
        <w:t xml:space="preserve">б</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Поставка продукции осуществляется </w:t>
      </w:r>
      <w:r>
        <w:rPr>
          <w:rFonts w:ascii="Times New Roman CYR" w:hAnsi="Times New Roman CYR" w:eastAsia="Times New Roman" w:cs="Times New Roman CYR"/>
          <w:sz w:val="26"/>
          <w:szCs w:val="26"/>
        </w:rPr>
        <w:t xml:space="preserve">транспортными средствами</w:t>
      </w:r>
      <w:r>
        <w:rPr>
          <w:rFonts w:ascii="Times New Roman" w:hAnsi="Times New Roman" w:eastAsia="Times New Roman"/>
          <w:sz w:val="26"/>
          <w:szCs w:val="26"/>
        </w:rPr>
        <w:t xml:space="preserve"> до места поставки. </w:t>
      </w:r>
      <w:r>
        <w:rPr>
          <w:rFonts w:ascii="Times New Roman" w:hAnsi="Times New Roman" w:eastAsia="Times New Roman"/>
          <w:sz w:val="26"/>
          <w:szCs w:val="26"/>
        </w:rPr>
      </w:r>
    </w:p>
    <w:p>
      <w:pPr>
        <w:pStyle w:val="670"/>
        <w:ind w:firstLine="709"/>
        <w:jc w:val="both"/>
        <w:spacing w:after="0" w:line="240" w:lineRule="auto"/>
        <w:widowControl w:val="off"/>
        <w:tabs>
          <w:tab w:val="left" w:pos="360" w:leader="none"/>
          <w:tab w:val="left" w:pos="1260" w:leader="none"/>
          <w:tab w:val="center" w:pos="4153" w:leader="none"/>
          <w:tab w:val="right" w:pos="8306" w:leader="none"/>
        </w:tabs>
        <w:rPr>
          <w:rFonts w:ascii="Times New Roman" w:hAnsi="Times New Roman" w:eastAsia="Times New Roman"/>
          <w:sz w:val="26"/>
          <w:szCs w:val="26"/>
        </w:rPr>
      </w:pPr>
      <w:r>
        <w:rPr>
          <w:rFonts w:ascii="Times New Roman" w:hAnsi="Times New Roman" w:eastAsia="Times New Roman"/>
          <w:sz w:val="26"/>
          <w:szCs w:val="26"/>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w:t>
      </w:r>
      <w:r>
        <w:rPr>
          <w:rFonts w:ascii="Times New Roman" w:hAnsi="Times New Roman" w:eastAsia="Times New Roman"/>
          <w:sz w:val="26"/>
          <w:szCs w:val="26"/>
        </w:rPr>
        <w:t xml:space="preserve">ответствовать требованиям, указанным в технических условиях изготовителя изделия, требованиям ГОСТ 23216-78 и др. нормативно-технической документации. Порядок отгрузки, специальные требования к таре и упаковке должны быть определены в договоре на поставку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Срок поставки: </w:t>
      </w:r>
      <w:r>
        <w:rPr>
          <w:rFonts w:ascii="Times New Roman CYR" w:hAnsi="Times New Roman CYR" w:cs="Times New Roman CYR"/>
          <w:sz w:val="26"/>
          <w:szCs w:val="26"/>
        </w:rPr>
        <w:t xml:space="preserve">с момента заключения договора в течении 30 календарных дней.</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rPr>
      </w:pPr>
      <w:r>
        <w:rPr>
          <w:rFonts w:ascii="Times New Roman" w:hAnsi="Times New Roman" w:eastAsia="Times New Roman"/>
          <w:b/>
          <w:bCs/>
          <w:sz w:val="26"/>
          <w:szCs w:val="26"/>
        </w:rPr>
        <w:t xml:space="preserve"> Перечень и объемы поставки.</w:t>
      </w:r>
      <w:r>
        <w:rPr>
          <w:rFonts w:ascii="Times New Roman" w:hAnsi="Times New Roman" w:eastAsia="Times New Roman"/>
          <w:b/>
          <w:bCs/>
          <w:sz w:val="26"/>
          <w:szCs w:val="26"/>
        </w:rPr>
      </w:r>
    </w:p>
    <w:p>
      <w:pPr>
        <w:pStyle w:val="670"/>
        <w:numPr>
          <w:ilvl w:val="1"/>
          <w:numId w:val="7"/>
        </w:numPr>
        <w:ind w:left="0" w:firstLine="709"/>
        <w:spacing w:after="0" w:line="240" w:lineRule="auto"/>
        <w:rPr>
          <w:rFonts w:ascii="Times New Roman" w:hAnsi="Times New Roman" w:eastAsia="Times New Roman"/>
          <w:b/>
          <w:bCs/>
          <w:sz w:val="26"/>
          <w:szCs w:val="26"/>
        </w:rPr>
      </w:pPr>
      <w:r>
        <w:rPr>
          <w:rFonts w:ascii="Times New Roman" w:hAnsi="Times New Roman" w:eastAsia="Times New Roman"/>
          <w:sz w:val="26"/>
          <w:szCs w:val="26"/>
        </w:rPr>
        <w:t xml:space="preserve">Перечень и объёмы поставки указаны в Приложении №1.</w:t>
      </w:r>
      <w:r>
        <w:rPr>
          <w:rFonts w:ascii="Times New Roman" w:hAnsi="Times New Roman" w:eastAsia="Times New Roman"/>
          <w:b/>
          <w:bCs/>
          <w:sz w:val="26"/>
          <w:szCs w:val="26"/>
        </w:rPr>
      </w:r>
      <w:r>
        <w:rPr>
          <w:rFonts w:ascii="Times New Roman" w:hAnsi="Times New Roman" w:eastAsia="Times New Roman"/>
          <w:b/>
          <w:bCs/>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Все налоги, сборы, отчисления и другие платежи, включая таможенные платежи и сборы,</w:t>
      </w:r>
      <w:r>
        <w:rPr>
          <w:rFonts w:ascii="Times New Roman" w:hAnsi="Times New Roman" w:eastAsia="Times New Roman"/>
          <w:sz w:val="26"/>
          <w:szCs w:val="26"/>
        </w:rPr>
        <w:t xml:space="preserve"> а также расходы на транспортировку продукции до места поставки, стоимость тары и упаковки, гарантийные обязательства включены в стоимость заявки/предложения участника. </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i/>
          <w:sz w:val="26"/>
          <w:szCs w:val="26"/>
        </w:rPr>
      </w:pPr>
      <w:r>
        <w:rPr>
          <w:rFonts w:ascii="Times New Roman" w:hAnsi="Times New Roman" w:eastAsia="Times New Roman"/>
          <w:i/>
          <w:sz w:val="26"/>
          <w:szCs w:val="26"/>
        </w:rPr>
      </w:r>
      <w:r>
        <w:rPr>
          <w:rFonts w:ascii="Times New Roman" w:hAnsi="Times New Roman" w:eastAsia="Times New Roman"/>
          <w:i/>
          <w:sz w:val="26"/>
          <w:szCs w:val="26"/>
        </w:rPr>
      </w:r>
    </w:p>
    <w:p>
      <w:pPr>
        <w:pStyle w:val="670"/>
        <w:numPr>
          <w:ilvl w:val="0"/>
          <w:numId w:val="7"/>
        </w:numPr>
        <w:ind w:left="1064"/>
        <w:spacing w:after="0" w:line="240" w:lineRule="auto"/>
        <w:rPr>
          <w:rFonts w:ascii="Times New Roman" w:hAnsi="Times New Roman" w:eastAsia="Times New Roman"/>
          <w:sz w:val="26"/>
          <w:szCs w:val="26"/>
        </w:rPr>
      </w:pPr>
      <w:r>
        <w:rPr>
          <w:rFonts w:ascii="Times New Roman" w:hAnsi="Times New Roman" w:eastAsia="Times New Roman"/>
          <w:b/>
          <w:bCs/>
          <w:sz w:val="26"/>
          <w:szCs w:val="26"/>
        </w:rPr>
        <w:t xml:space="preserve">Общие технические требования к поставляемой продукции.</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Поставляемая продукция должна быть изготовлена в год поставки или предшествующий ему и быть ранее не использованной;</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Продукция должна соответствовать требованиям:</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w:t>
      </w:r>
      <w:r>
        <w:rPr>
          <w:rFonts w:ascii="Times New Roman" w:hAnsi="Times New Roman" w:eastAsia="Times New Roman"/>
          <w:sz w:val="26"/>
          <w:szCs w:val="26"/>
        </w:rPr>
        <w:t xml:space="preserve">П</w:t>
      </w:r>
      <w:r>
        <w:rPr>
          <w:rFonts w:ascii="Times New Roman" w:hAnsi="Times New Roman" w:eastAsia="Times New Roman"/>
          <w:sz w:val="26"/>
          <w:szCs w:val="26"/>
        </w:rPr>
        <w:t xml:space="preserve">оложения ПАО «Россети» </w:t>
      </w:r>
      <w:r>
        <w:rPr>
          <w:rFonts w:ascii="Times New Roman" w:hAnsi="Times New Roman" w:eastAsia="Times New Roman"/>
          <w:sz w:val="26"/>
          <w:szCs w:val="26"/>
        </w:rPr>
        <w:t xml:space="preserve">О</w:t>
      </w:r>
      <w:r>
        <w:rPr>
          <w:rFonts w:ascii="Times New Roman" w:hAnsi="Times New Roman" w:eastAsia="Times New Roman"/>
          <w:sz w:val="26"/>
          <w:szCs w:val="26"/>
        </w:rPr>
        <w:t xml:space="preserve"> единой технической политике в электросетевом комплексе</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Продукция должна сопровождаться сертификатом/декларацией соответствия и протоколом испытаний</w:t>
      </w:r>
      <w:r>
        <w:rPr>
          <w:rFonts w:ascii="Times New Roman" w:hAnsi="Times New Roman" w:eastAsia="Times New Roman"/>
          <w:sz w:val="26"/>
          <w:szCs w:val="26"/>
        </w:rPr>
        <w:t xml:space="preserve">, подтверждающи</w:t>
      </w:r>
      <w:r>
        <w:rPr>
          <w:rFonts w:ascii="Times New Roman" w:hAnsi="Times New Roman" w:eastAsia="Times New Roman"/>
          <w:sz w:val="26"/>
          <w:szCs w:val="26"/>
        </w:rPr>
        <w:t xml:space="preserve">х заявленные характеристики, а также документацией по монтажу, наладке и эксплуатации.</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Вся сопроводительная документация должна быть составлена на русском языке и пер</w:t>
      </w:r>
      <w:r>
        <w:rPr>
          <w:rFonts w:ascii="Times New Roman" w:hAnsi="Times New Roman" w:eastAsia="Times New Roman"/>
          <w:sz w:val="26"/>
          <w:szCs w:val="26"/>
        </w:rPr>
        <w:t xml:space="preserve">едана заказчику вместе с поставляемой продукцией.</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Поставляемая продукция должна </w:t>
      </w:r>
      <w:r>
        <w:rPr>
          <w:rFonts w:ascii="Times New Roman" w:hAnsi="Times New Roman" w:eastAsia="Times New Roman"/>
          <w:sz w:val="26"/>
          <w:szCs w:val="26"/>
        </w:rPr>
        <w:t xml:space="preserve">быть </w:t>
      </w:r>
      <w:r>
        <w:rPr>
          <w:rFonts w:ascii="Times New Roman" w:hAnsi="Times New Roman" w:eastAsia="Times New Roman"/>
          <w:sz w:val="26"/>
          <w:szCs w:val="26"/>
        </w:rPr>
        <w:t xml:space="preserve">рассчитана </w:t>
      </w:r>
      <w:r>
        <w:rPr>
          <w:rFonts w:ascii="Times New Roman" w:hAnsi="Times New Roman" w:eastAsia="Times New Roman"/>
          <w:sz w:val="26"/>
          <w:szCs w:val="26"/>
        </w:rPr>
        <w:t xml:space="preserve">на эксплуатацию в непрерывном режиме круглосуточно в заданных условиях в течение установленного срока службы.</w:t>
      </w:r>
      <w:r>
        <w:rPr>
          <w:rFonts w:ascii="Times New Roman" w:hAnsi="Times New Roman" w:eastAsia="Times New Roman"/>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Маркировка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w:t>
      </w:r>
      <w:r>
        <w:rPr>
          <w:rFonts w:ascii="Times New Roman" w:hAnsi="Times New Roman" w:eastAsia="Times New Roman"/>
          <w:sz w:val="26"/>
          <w:szCs w:val="26"/>
        </w:rPr>
        <w:t xml:space="preserve"> </w:t>
      </w:r>
      <w:r>
        <w:rPr>
          <w:rFonts w:ascii="Times New Roman" w:hAnsi="Times New Roman" w:eastAsia="Times New Roman"/>
          <w:sz w:val="26"/>
          <w:szCs w:val="26"/>
        </w:rPr>
        <w:t xml:space="preserve">изделия</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670"/>
        <w:jc w:val="both"/>
        <w:spacing w:after="0" w:line="240" w:lineRule="auto"/>
        <w:tabs>
          <w:tab w:val="left" w:pos="6645" w:leader="none"/>
        </w:tabs>
        <w:rPr>
          <w:rFonts w:ascii="Times New Roman" w:hAnsi="Times New Roman" w:eastAsia="Times New Roman"/>
          <w:color w:val="000000"/>
          <w:sz w:val="26"/>
          <w:szCs w:val="26"/>
        </w:rPr>
      </w:pPr>
      <w:r>
        <w:rPr>
          <w:rFonts w:ascii="Times New Roman" w:hAnsi="Times New Roman" w:eastAsia="Times New Roman"/>
          <w:color w:val="000000"/>
          <w:sz w:val="26"/>
          <w:szCs w:val="26"/>
        </w:rPr>
        <w:tab/>
      </w:r>
      <w:r>
        <w:rPr>
          <w:rFonts w:ascii="Times New Roman" w:hAnsi="Times New Roman" w:eastAsia="Times New Roman"/>
          <w:color w:val="000000"/>
          <w:sz w:val="26"/>
          <w:szCs w:val="26"/>
        </w:rPr>
      </w:r>
      <w:r>
        <w:rPr>
          <w:rFonts w:ascii="Times New Roman" w:hAnsi="Times New Roman" w:eastAsia="Times New Roman"/>
          <w:color w:val="000000"/>
          <w:sz w:val="26"/>
          <w:szCs w:val="26"/>
        </w:rPr>
      </w:r>
    </w:p>
    <w:p>
      <w:pPr>
        <w:pStyle w:val="670"/>
        <w:numPr>
          <w:ilvl w:val="0"/>
          <w:numId w:val="7"/>
        </w:numPr>
        <w:ind w:left="1064"/>
        <w:spacing w:after="0" w:line="240" w:lineRule="auto"/>
        <w:rPr>
          <w:rFonts w:ascii="Times New Roman" w:hAnsi="Times New Roman" w:eastAsia="Times New Roman"/>
          <w:b/>
          <w:sz w:val="26"/>
          <w:szCs w:val="26"/>
        </w:rPr>
      </w:pPr>
      <w:r>
        <w:rPr>
          <w:rFonts w:ascii="Times New Roman" w:hAnsi="Times New Roman" w:eastAsia="Times New Roman"/>
          <w:b/>
          <w:sz w:val="26"/>
          <w:szCs w:val="26"/>
        </w:rPr>
        <w:t xml:space="preserve">Состав технической и эксплуатационной документации.</w:t>
      </w:r>
      <w:r>
        <w:rPr>
          <w:rFonts w:ascii="Times New Roman" w:hAnsi="Times New Roman" w:eastAsia="Times New Roman"/>
          <w:b/>
          <w:sz w:val="26"/>
          <w:szCs w:val="26"/>
        </w:rPr>
      </w:r>
    </w:p>
    <w:p>
      <w:pPr>
        <w:pStyle w:val="670"/>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 всем видам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участник должен предоставить полный комплект технической и эксплуатационной документации на русском языке, подготовленной в соответствии с ГОСТ 2.601-</w:t>
      </w:r>
      <w:r>
        <w:rPr>
          <w:rFonts w:ascii="Times New Roman" w:hAnsi="Times New Roman" w:eastAsia="Times New Roman"/>
          <w:sz w:val="26"/>
          <w:szCs w:val="26"/>
        </w:rPr>
        <w:t xml:space="preserve">2013</w:t>
      </w:r>
      <w:r>
        <w:rPr>
          <w:rFonts w:ascii="Times New Roman" w:hAnsi="Times New Roman" w:eastAsia="Times New Roman"/>
          <w:sz w:val="26"/>
          <w:szCs w:val="26"/>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r>
        <w:rPr>
          <w:rFonts w:ascii="Times New Roman" w:hAnsi="Times New Roman" w:eastAsia="Times New Roman"/>
          <w:sz w:val="26"/>
          <w:szCs w:val="26"/>
        </w:rPr>
        <w:t xml:space="preserve"> и материалов</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sz w:val="26"/>
          <w:szCs w:val="26"/>
        </w:rPr>
      </w:pPr>
      <w:r>
        <w:rPr>
          <w:rFonts w:ascii="Times New Roman" w:hAnsi="Times New Roman" w:eastAsia="Times New Roman"/>
          <w:b/>
          <w:sz w:val="26"/>
          <w:szCs w:val="26"/>
        </w:rPr>
        <w:t xml:space="preserve">Гарантийные обязательства.</w:t>
      </w:r>
      <w:r>
        <w:rPr>
          <w:rFonts w:ascii="Times New Roman" w:hAnsi="Times New Roman" w:eastAsia="Times New Roman"/>
          <w:b/>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Срок гарантии на поставляемые материалы и оборудование должен быть не менее 5 лет. Время начала исчисления гарантийного срока – с момента ввода оборудования</w:t>
      </w:r>
      <w:r>
        <w:rPr>
          <w:rFonts w:ascii="Times New Roman" w:hAnsi="Times New Roman" w:eastAsia="Times New Roman"/>
          <w:sz w:val="26"/>
          <w:szCs w:val="26"/>
        </w:rPr>
        <w:t xml:space="preserve"> и материалов</w:t>
      </w:r>
      <w:r>
        <w:rPr>
          <w:rFonts w:ascii="Times New Roman" w:hAnsi="Times New Roman" w:eastAsia="Times New Roman"/>
          <w:sz w:val="26"/>
          <w:szCs w:val="26"/>
        </w:rPr>
        <w:t xml:space="preserve"> в эксплуатацию.</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Участник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 </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 случае выхода из строя оборудования </w:t>
      </w:r>
      <w:r>
        <w:rPr>
          <w:rFonts w:ascii="Times New Roman" w:hAnsi="Times New Roman" w:eastAsia="Times New Roman"/>
          <w:sz w:val="26"/>
          <w:szCs w:val="26"/>
        </w:rPr>
        <w:t xml:space="preserve">и материалов </w:t>
      </w:r>
      <w:r>
        <w:rPr>
          <w:rFonts w:ascii="Times New Roman" w:hAnsi="Times New Roman" w:eastAsia="Times New Roman"/>
          <w:sz w:val="26"/>
          <w:szCs w:val="26"/>
        </w:rPr>
        <w:t xml:space="preserve">участник обязан направить своего представителя </w:t>
      </w:r>
      <w:r>
        <w:rPr>
          <w:rFonts w:ascii="Times New Roman" w:hAnsi="Times New Roman" w:eastAsia="Times New Roman"/>
          <w:sz w:val="26"/>
          <w:szCs w:val="26"/>
        </w:rPr>
        <w:t xml:space="preserve">для участия в составлении акта, фиксирующего дефекты, согласования порядка и сроков их устранения не позднее 5 дней со дня получения письменного извещения заказчика. Гарантийный срок в этом случае продлевается соответственно на период устранения дефектов. </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p>
    <w:p>
      <w:pPr>
        <w:pStyle w:val="670"/>
        <w:numPr>
          <w:ilvl w:val="0"/>
          <w:numId w:val="7"/>
        </w:numPr>
        <w:ind w:left="1064"/>
        <w:spacing w:after="0" w:line="240" w:lineRule="auto"/>
        <w:rPr>
          <w:rFonts w:ascii="Times New Roman" w:hAnsi="Times New Roman" w:eastAsia="Times New Roman"/>
          <w:b/>
          <w:bCs/>
          <w:sz w:val="26"/>
          <w:szCs w:val="26"/>
          <w:lang w:eastAsia="ru-RU"/>
        </w:rPr>
      </w:pPr>
      <w:r>
        <w:rPr>
          <w:rFonts w:ascii="Times New Roman" w:hAnsi="Times New Roman" w:eastAsia="Times New Roman"/>
          <w:b/>
          <w:bCs/>
          <w:sz w:val="26"/>
          <w:szCs w:val="26"/>
          <w:lang w:eastAsia="ru-RU"/>
        </w:rPr>
        <w:t xml:space="preserve">Правила приемки </w:t>
      </w:r>
      <w:r>
        <w:rPr>
          <w:rFonts w:ascii="Times New Roman" w:hAnsi="Times New Roman" w:eastAsia="Times New Roman"/>
          <w:b/>
          <w:bCs/>
          <w:sz w:val="26"/>
          <w:szCs w:val="26"/>
          <w:lang w:eastAsia="ru-RU"/>
        </w:rPr>
        <w:t xml:space="preserve">продукции</w:t>
      </w:r>
      <w:r>
        <w:rPr>
          <w:rFonts w:ascii="Times New Roman" w:hAnsi="Times New Roman" w:eastAsia="Times New Roman"/>
          <w:b/>
          <w:bCs/>
          <w:sz w:val="26"/>
          <w:szCs w:val="26"/>
          <w:lang w:eastAsia="ru-RU"/>
        </w:rPr>
        <w:t xml:space="preserve">.</w:t>
      </w:r>
      <w:r>
        <w:rPr>
          <w:rFonts w:ascii="Times New Roman" w:hAnsi="Times New Roman" w:eastAsia="Times New Roman"/>
          <w:b/>
          <w:bCs/>
          <w:sz w:val="26"/>
          <w:szCs w:val="26"/>
          <w:lang w:eastAsia="ru-RU"/>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Приемка продукции по качеству производится в соответствии с </w:t>
      </w:r>
      <w:r>
        <w:rPr>
          <w:rFonts w:ascii="Times New Roman" w:hAnsi="Times New Roman" w:eastAsia="Times New Roman"/>
          <w:sz w:val="26"/>
          <w:szCs w:val="26"/>
        </w:rPr>
        <w:t xml:space="preserve">законодательством Российской Федерации (ст. 513 ГК РФ)</w:t>
      </w:r>
      <w:r>
        <w:rPr>
          <w:rFonts w:ascii="Times New Roman" w:hAnsi="Times New Roman" w:eastAsia="Times New Roman"/>
          <w:sz w:val="26"/>
          <w:szCs w:val="26"/>
        </w:rPr>
        <w:t xml:space="preserve">, СО_5.022_</w:t>
      </w:r>
      <w:r>
        <w:rPr>
          <w:rFonts w:ascii="Times New Roman" w:hAnsi="Times New Roman" w:eastAsia="Times New Roman"/>
          <w:sz w:val="26"/>
          <w:szCs w:val="26"/>
        </w:rPr>
        <w:t xml:space="preserve"> и условиями Договора</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Приемка продукции по количеству производится в соответствии с </w:t>
      </w:r>
      <w:r>
        <w:rPr>
          <w:rFonts w:ascii="Times New Roman" w:hAnsi="Times New Roman" w:eastAsia="Times New Roman"/>
          <w:sz w:val="26"/>
          <w:szCs w:val="26"/>
        </w:rPr>
        <w:t xml:space="preserve">законодательством Российской Федерации (ст. 513 ГК РФ)</w:t>
      </w:r>
      <w:r>
        <w:rPr>
          <w:rFonts w:ascii="Times New Roman" w:hAnsi="Times New Roman" w:eastAsia="Times New Roman"/>
          <w:sz w:val="26"/>
          <w:szCs w:val="26"/>
        </w:rPr>
        <w:t xml:space="preserve">, СО_5.022</w:t>
      </w:r>
      <w:r>
        <w:rPr>
          <w:rFonts w:ascii="Times New Roman" w:hAnsi="Times New Roman" w:eastAsia="Times New Roman"/>
          <w:sz w:val="26"/>
          <w:szCs w:val="26"/>
        </w:rPr>
        <w:t xml:space="preserve"> и условиями Договора</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 приемке продукции осуществляется:</w:t>
      </w:r>
      <w:r>
        <w:rPr>
          <w:rFonts w:ascii="Times New Roman" w:hAnsi="Times New Roman" w:eastAsia="Times New Roman"/>
          <w:sz w:val="26"/>
          <w:szCs w:val="26"/>
        </w:rPr>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внешний осмотр тары и упаковки:</w:t>
      </w:r>
      <w:r>
        <w:rPr>
          <w:rFonts w:ascii="Times New Roman" w:hAnsi="Times New Roman" w:eastAsia="Times New Roman"/>
          <w:sz w:val="26"/>
          <w:szCs w:val="26"/>
        </w:rPr>
      </w:r>
    </w:p>
    <w:p>
      <w:pPr>
        <w:pStyle w:val="670"/>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проверку соответствия количества отгруженных и поступивших поставочных мест;</w:t>
      </w:r>
      <w:r>
        <w:rPr>
          <w:rFonts w:ascii="Times New Roman" w:hAnsi="Times New Roman" w:eastAsia="Times New Roman"/>
          <w:sz w:val="26"/>
          <w:szCs w:val="26"/>
        </w:rPr>
      </w:r>
    </w:p>
    <w:p>
      <w:pPr>
        <w:pStyle w:val="670"/>
        <w:ind w:firstLine="709"/>
        <w:jc w:val="both"/>
        <w:spacing w:after="0" w:line="240" w:lineRule="auto"/>
        <w:tabs>
          <w:tab w:val="left" w:pos="8789" w:leader="none"/>
        </w:tabs>
        <w:rPr>
          <w:rFonts w:ascii="Times New Roman" w:hAnsi="Times New Roman" w:eastAsia="Times New Roman"/>
          <w:sz w:val="26"/>
          <w:szCs w:val="26"/>
        </w:rPr>
      </w:pPr>
      <w:r>
        <w:rPr>
          <w:rFonts w:ascii="Times New Roman" w:hAnsi="Times New Roman" w:eastAsia="Times New Roman"/>
          <w:sz w:val="26"/>
          <w:szCs w:val="26"/>
        </w:rPr>
        <w:t xml:space="preserve">– проверку соответствия содержимого </w:t>
      </w:r>
      <w:r>
        <w:rPr>
          <w:rFonts w:ascii="Times New Roman" w:hAnsi="Times New Roman" w:eastAsia="Times New Roman"/>
          <w:sz w:val="26"/>
          <w:szCs w:val="26"/>
        </w:rPr>
        <w:t xml:space="preserve">упаковки предмету Договора, упаковочным листам и характеристикам, указанным в товаросопроводительной документации (общий обычный осмотр)</w:t>
      </w:r>
      <w:r>
        <w:rPr>
          <w:rFonts w:ascii="Times New Roman" w:hAnsi="Times New Roman" w:eastAsia="Times New Roman"/>
          <w:sz w:val="26"/>
          <w:szCs w:val="26"/>
        </w:rPr>
        <w:t xml:space="preserve">;</w:t>
      </w:r>
      <w:r>
        <w:rPr>
          <w:rFonts w:ascii="Times New Roman" w:hAnsi="Times New Roman" w:eastAsia="Times New Roman"/>
          <w:sz w:val="26"/>
          <w:szCs w:val="26"/>
        </w:rPr>
      </w:r>
    </w:p>
    <w:p>
      <w:pPr>
        <w:pStyle w:val="670"/>
        <w:ind w:firstLine="709"/>
        <w:jc w:val="both"/>
        <w:spacing w:after="0" w:line="240" w:lineRule="auto"/>
        <w:tabs>
          <w:tab w:val="left" w:pos="8789" w:leader="none"/>
        </w:tabs>
        <w:rPr>
          <w:rFonts w:ascii="Times New Roman" w:hAnsi="Times New Roman" w:eastAsia="Times New Roman"/>
          <w:sz w:val="26"/>
          <w:szCs w:val="26"/>
        </w:rPr>
      </w:pPr>
      <w:r>
        <w:rPr>
          <w:rFonts w:ascii="Times New Roman" w:hAnsi="Times New Roman" w:eastAsia="Times New Roman"/>
          <w:sz w:val="26"/>
          <w:szCs w:val="26"/>
        </w:rPr>
        <w:t xml:space="preserve">– проведение оценки соответствия продукции для обеспечения функционирования объектов электросетевого комплекса, </w:t>
      </w:r>
      <w:r>
        <w:rPr>
          <w:rFonts w:ascii="Times New Roman" w:hAnsi="Times New Roman" w:eastAsia="Times New Roman"/>
          <w:sz w:val="26"/>
          <w:szCs w:val="26"/>
        </w:rPr>
        <w:t xml:space="preserve">предъявляемой</w:t>
      </w:r>
      <w:r>
        <w:rPr>
          <w:rFonts w:ascii="Times New Roman" w:hAnsi="Times New Roman" w:eastAsia="Times New Roman"/>
          <w:sz w:val="26"/>
          <w:szCs w:val="26"/>
        </w:rPr>
        <w:t xml:space="preserve"> на контроль, установленным требованиям;</w:t>
      </w:r>
      <w:r>
        <w:rPr>
          <w:rFonts w:ascii="Times New Roman" w:hAnsi="Times New Roman" w:eastAsia="Times New Roman"/>
          <w:sz w:val="26"/>
          <w:szCs w:val="26"/>
        </w:rPr>
      </w:r>
    </w:p>
    <w:p>
      <w:pPr>
        <w:pStyle w:val="670"/>
        <w:ind w:firstLine="709"/>
        <w:jc w:val="both"/>
        <w:spacing w:after="0" w:line="240" w:lineRule="auto"/>
        <w:tabs>
          <w:tab w:val="left" w:pos="8789" w:leader="none"/>
        </w:tabs>
        <w:rPr>
          <w:rFonts w:ascii="Times New Roman" w:hAnsi="Times New Roman" w:eastAsia="Times New Roman"/>
          <w:sz w:val="26"/>
          <w:szCs w:val="26"/>
        </w:rPr>
      </w:pPr>
      <w:r>
        <w:rPr>
          <w:rFonts w:ascii="Times New Roman" w:hAnsi="Times New Roman" w:eastAsia="Times New Roman"/>
          <w:sz w:val="26"/>
          <w:szCs w:val="26"/>
        </w:rPr>
        <w:t xml:space="preserve">– проверка наличия и содержания сопроводительной документации </w:t>
      </w:r>
      <w:r>
        <w:rPr>
          <w:rFonts w:ascii="Times New Roman" w:hAnsi="Times New Roman" w:eastAsia="Times New Roman"/>
          <w:sz w:val="26"/>
          <w:szCs w:val="26"/>
        </w:rPr>
        <w:t xml:space="preserve">поставщиков, удостоверяющей</w:t>
      </w:r>
      <w:r>
        <w:rPr>
          <w:rFonts w:ascii="Times New Roman" w:hAnsi="Times New Roman" w:eastAsia="Times New Roman"/>
          <w:sz w:val="26"/>
          <w:szCs w:val="26"/>
        </w:rPr>
        <w:t xml:space="preserve"> качество и комплектность поставленной ими продукции;</w:t>
      </w:r>
      <w:r>
        <w:rPr>
          <w:rFonts w:ascii="Times New Roman" w:hAnsi="Times New Roman" w:eastAsia="Times New Roman"/>
          <w:sz w:val="26"/>
          <w:szCs w:val="26"/>
        </w:rPr>
      </w:r>
    </w:p>
    <w:p>
      <w:pPr>
        <w:pStyle w:val="670"/>
        <w:ind w:firstLine="709"/>
        <w:jc w:val="both"/>
        <w:spacing w:after="0" w:line="240" w:lineRule="auto"/>
        <w:tabs>
          <w:tab w:val="left" w:pos="8789" w:leader="none"/>
        </w:tabs>
        <w:rPr>
          <w:rFonts w:ascii="Times New Roman" w:hAnsi="Times New Roman"/>
          <w:sz w:val="26"/>
          <w:szCs w:val="26"/>
        </w:rPr>
      </w:pPr>
      <w:r>
        <w:rPr>
          <w:rFonts w:ascii="Times New Roman" w:hAnsi="Times New Roman" w:eastAsia="Times New Roman"/>
          <w:sz w:val="26"/>
          <w:szCs w:val="26"/>
        </w:rPr>
        <w:t xml:space="preserve">– контроль соответствия качества и комплектности материалов требованиям проектной, конструкторской документации и договоров на поставку</w:t>
      </w:r>
      <w:r>
        <w:rPr>
          <w:rFonts w:ascii="Times New Roman" w:hAnsi="Times New Roman" w:eastAsia="Times New Roman"/>
          <w:sz w:val="26"/>
          <w:szCs w:val="26"/>
        </w:rPr>
        <w:t xml:space="preserve">.</w:t>
      </w:r>
      <w:r>
        <w:rPr>
          <w:rFonts w:ascii="Times New Roman" w:hAnsi="Times New Roman"/>
          <w:sz w:val="26"/>
          <w:szCs w:val="26"/>
        </w:rPr>
      </w:r>
      <w:r>
        <w:rPr>
          <w:rFonts w:ascii="Times New Roman" w:hAnsi="Times New Roman"/>
          <w:sz w:val="26"/>
          <w:szCs w:val="26"/>
        </w:rPr>
      </w:r>
    </w:p>
    <w:p>
      <w:pPr>
        <w:pStyle w:val="670"/>
        <w:ind w:firstLine="708"/>
        <w:jc w:val="both"/>
        <w:spacing w:after="0" w:line="240" w:lineRule="auto"/>
        <w:rPr>
          <w:rFonts w:ascii="Times New Roman" w:hAnsi="Times New Roman"/>
          <w:sz w:val="26"/>
          <w:szCs w:val="26"/>
        </w:rPr>
      </w:pPr>
      <w:r>
        <w:rPr>
          <w:rFonts w:ascii="Times New Roman" w:hAnsi="Times New Roman"/>
          <w:sz w:val="26"/>
          <w:szCs w:val="26"/>
        </w:rPr>
        <w:t xml:space="preserve">В случае выявления дефектов, участник обязан за свой счет заменить поставленную продукцию.</w:t>
      </w:r>
      <w:r>
        <w:rPr>
          <w:rFonts w:ascii="Times New Roman" w:hAnsi="Times New Roman"/>
          <w:sz w:val="26"/>
          <w:szCs w:val="26"/>
        </w:rPr>
      </w:r>
      <w:r>
        <w:rPr>
          <w:rFonts w:ascii="Times New Roman" w:hAnsi="Times New Roman"/>
          <w:sz w:val="26"/>
          <w:szCs w:val="26"/>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675"/>
        <w:gridCol w:w="993"/>
        <w:gridCol w:w="5386"/>
        <w:gridCol w:w="1418"/>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 п/п</w:t>
            </w:r>
            <w:r>
              <w:rPr>
                <w:rFonts w:ascii="Times New Roman CYR" w:hAnsi="Times New Roman CYR" w:eastAsia="Times New Roman" w:cs="Times New Roman CYR"/>
                <w:sz w:val="24"/>
                <w:szCs w:val="24"/>
              </w:rPr>
            </w:r>
          </w:p>
        </w:tc>
        <w:tc>
          <w:tcPr>
            <w:tcW w:w="993"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Дата</w:t>
            </w:r>
            <w:r>
              <w:rPr>
                <w:rFonts w:ascii="Times New Roman CYR" w:hAnsi="Times New Roman CYR" w:eastAsia="Times New Roman" w:cs="Times New Roman CYR"/>
                <w:sz w:val="24"/>
                <w:szCs w:val="24"/>
              </w:rPr>
            </w:r>
          </w:p>
        </w:tc>
        <w:tc>
          <w:tcPr>
            <w:tcW w:w="5386"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Должность</w:t>
            </w:r>
            <w:r>
              <w:rPr>
                <w:rFonts w:ascii="Times New Roman CYR" w:hAnsi="Times New Roman CYR" w:eastAsia="Times New Roman" w:cs="Times New Roman CYR"/>
                <w:sz w:val="24"/>
                <w:szCs w:val="24"/>
              </w:rPr>
            </w:r>
          </w:p>
        </w:tc>
        <w:tc>
          <w:tcPr>
            <w:tcW w:w="1418"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Подпись</w:t>
            </w:r>
            <w:r>
              <w:rPr>
                <w:rFonts w:ascii="Times New Roman CYR" w:hAnsi="Times New Roman CYR" w:eastAsia="Times New Roman" w:cs="Times New Roman CYR"/>
                <w:sz w:val="24"/>
                <w:szCs w:val="24"/>
              </w:rPr>
            </w:r>
          </w:p>
        </w:tc>
        <w:tc>
          <w:tcPr>
            <w:tcW w:w="1984" w:type="dxa"/>
            <w:vAlign w:val="center"/>
            <w:textDirection w:val="lrTb"/>
            <w:noWrap w:val="false"/>
          </w:tcPr>
          <w:p>
            <w:pPr>
              <w:pStyle w:val="670"/>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ФИО</w:t>
            </w:r>
            <w:r>
              <w:rPr>
                <w:rFonts w:ascii="Times New Roman CYR" w:hAnsi="Times New Roman CYR" w:eastAsia="Times New Roman"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1</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670"/>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ЗГИ по эксплуатации – начальник</w:t>
            </w:r>
            <w:r>
              <w:rPr>
                <w:rFonts w:ascii="Times New Roman CYR" w:hAnsi="Times New Roman CYR" w:cs="Times New Roman CYR"/>
                <w:sz w:val="24"/>
                <w:szCs w:val="24"/>
              </w:rPr>
              <w:t xml:space="preserve"> УТО и РОЭХ</w:t>
            </w:r>
            <w:r>
              <w:rPr>
                <w:rFonts w:ascii="Times New Roman CYR" w:hAnsi="Times New Roman CYR" w:cs="Times New Roman CYR"/>
                <w:sz w:val="24"/>
                <w:szCs w:val="24"/>
              </w:rPr>
            </w:r>
          </w:p>
        </w:tc>
        <w:tc>
          <w:tcPr>
            <w:tcW w:w="1418"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1984" w:type="dxa"/>
            <w:vAlign w:val="center"/>
            <w:textDirection w:val="lrTb"/>
            <w:noWrap w:val="false"/>
          </w:tcPr>
          <w:p>
            <w:pPr>
              <w:pStyle w:val="670"/>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В.В. Князев</w:t>
            </w:r>
            <w:r>
              <w:rPr>
                <w:rFonts w:ascii="Times New Roman CYR" w:hAnsi="Times New Roman CYR"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2</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670"/>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Начальник </w:t>
            </w:r>
            <w:r>
              <w:rPr>
                <w:rFonts w:ascii="Times New Roman CYR" w:hAnsi="Times New Roman CYR" w:cs="Times New Roman CYR"/>
                <w:sz w:val="24"/>
                <w:szCs w:val="24"/>
              </w:rPr>
              <w:t xml:space="preserve">отдела</w:t>
            </w:r>
            <w:r>
              <w:rPr>
                <w:rFonts w:ascii="Times New Roman CYR" w:hAnsi="Times New Roman CYR" w:cs="Times New Roman CYR"/>
                <w:sz w:val="24"/>
                <w:szCs w:val="24"/>
              </w:rPr>
              <w:t xml:space="preserve"> логистики и МТО</w:t>
            </w:r>
            <w:r>
              <w:rPr>
                <w:rFonts w:ascii="Times New Roman CYR" w:hAnsi="Times New Roman CYR" w:cs="Times New Roman CYR"/>
                <w:sz w:val="24"/>
                <w:szCs w:val="24"/>
              </w:rPr>
            </w:r>
          </w:p>
        </w:tc>
        <w:tc>
          <w:tcPr>
            <w:tcW w:w="1418"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1984" w:type="dxa"/>
            <w:vAlign w:val="center"/>
            <w:textDirection w:val="lrTb"/>
            <w:noWrap w:val="false"/>
          </w:tcPr>
          <w:p>
            <w:pPr>
              <w:pStyle w:val="670"/>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А.Ю. Шмидгаль</w:t>
            </w:r>
            <w:r>
              <w:rPr>
                <w:rFonts w:ascii="Times New Roman CYR" w:hAnsi="Times New Roman CYR" w:cs="Times New Roman CYR"/>
                <w:sz w:val="24"/>
                <w:szCs w:val="24"/>
              </w:rPr>
            </w:r>
            <w:r>
              <w:rPr>
                <w:rFonts w:ascii="Times New Roman CYR" w:hAnsi="Times New Roman CYR"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3</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670"/>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Начальник ДТОиРОЭХ ПАО «Россети Сибирь»</w:t>
            </w:r>
            <w:r>
              <w:rPr>
                <w:rFonts w:ascii="Times New Roman CYR" w:hAnsi="Times New Roman CYR" w:cs="Times New Roman CYR"/>
                <w:sz w:val="24"/>
                <w:szCs w:val="24"/>
              </w:rPr>
            </w:r>
          </w:p>
        </w:tc>
        <w:tc>
          <w:tcPr>
            <w:tcW w:w="1418" w:type="dxa"/>
            <w:vAlign w:val="center"/>
            <w:textDirection w:val="lrTb"/>
            <w:noWrap w:val="false"/>
          </w:tcPr>
          <w:p>
            <w:pPr>
              <w:pStyle w:val="670"/>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1984" w:type="dxa"/>
            <w:vAlign w:val="center"/>
            <w:textDirection w:val="lrTb"/>
            <w:noWrap w:val="false"/>
          </w:tcPr>
          <w:p>
            <w:pPr>
              <w:pStyle w:val="670"/>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А.Я. Гаммель</w:t>
            </w:r>
            <w:r>
              <w:rPr>
                <w:rFonts w:ascii="Times New Roman CYR" w:hAnsi="Times New Roman CYR" w:cs="Times New Roman CYR"/>
                <w:sz w:val="24"/>
                <w:szCs w:val="24"/>
              </w:rPr>
            </w:r>
          </w:p>
        </w:tc>
      </w:tr>
    </w:tbl>
    <w:p>
      <w:r/>
    </w:p>
    <w:sectPr>
      <w:footerReference w:type="default" r:id="rId9"/>
      <w:footnotePr/>
      <w:endnotePr/>
      <w:type w:val="nextPage"/>
      <w:pgSz w:w="12240" w:h="15840" w:orient="portrait"/>
      <w:pgMar w:top="567" w:right="709" w:bottom="567" w:left="1276" w:header="72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Wingdings">
    <w:panose1 w:val="05000000000000000000"/>
  </w:font>
  <w:font w:name="Symbol">
    <w:panose1 w:val="05050102010706020507"/>
  </w:font>
  <w:font w:name="Courier New">
    <w:panose1 w:val="02070309020205020404"/>
  </w:font>
  <w:font w:name="Cambria">
    <w:panose1 w:val="02040503050406030204"/>
  </w:font>
  <w:font w:name="Verdana">
    <w:panose1 w:val="020B0604030504040204"/>
  </w:font>
  <w:font w:name="Calibri Light">
    <w:panose1 w:val="020F0302020204030204"/>
  </w:font>
  <w:font w:name="Tahoma">
    <w:panose1 w:val="020B0604030504040204"/>
  </w:font>
  <w:font w:name="Arial Unicode MS">
    <w:panose1 w:val="020B060402020202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0"/>
      <w:jc w:val="center"/>
    </w:pPr>
    <w:r>
      <w:fldChar w:fldCharType="begin"/>
    </w:r>
    <w:r>
      <w:instrText xml:space="preserve"> PAGE   \* MERGEFORMAT </w:instrText>
    </w:r>
    <w:r>
      <w:fldChar w:fldCharType="separate"/>
    </w:r>
    <w:r>
      <w:t xml:space="preserve">3</w:t>
    </w:r>
    <w:r>
      <w:fldChar w:fldCharType="end"/>
    </w:r>
    <w:r/>
  </w:p>
  <w:p>
    <w:pPr>
      <w:pStyle w:val="69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927" w:hanging="360"/>
      </w:pPr>
      <w:rPr>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pStyle w:val="722"/>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
    <w:multiLevelType w:val="hybridMultilevel"/>
    <w:lvl w:ilvl="0">
      <w:start w:val="1"/>
      <w:numFmt w:val="decimal"/>
      <w:isLgl w:val="false"/>
      <w:suff w:val="tab"/>
      <w:lvlText w:val="%1."/>
      <w:lvlJc w:val="left"/>
      <w:pPr>
        <w:ind w:left="360" w:hanging="360"/>
      </w:pPr>
      <w:rPr>
        <w:b w:val="0"/>
      </w:rPr>
    </w:lvl>
    <w:lvl w:ilvl="1">
      <w:start w:val="1"/>
      <w:numFmt w:val="decimal"/>
      <w:isLgl w:val="false"/>
      <w:suff w:val="tab"/>
      <w:lvlText w:val="%1.%2"/>
      <w:lvlJc w:val="left"/>
      <w:pPr>
        <w:ind w:left="390" w:hanging="390"/>
      </w:pPr>
      <w:rPr>
        <w:b w:val="0"/>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1800" w:hanging="1800"/>
      </w:pPr>
    </w:lvl>
  </w:abstractNum>
  <w:abstractNum w:abstractNumId="2">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3">
    <w:multiLevelType w:val="hybridMultilevel"/>
    <w:lvl w:ilvl="0">
      <w:start w:val="6"/>
      <w:numFmt w:val="bullet"/>
      <w:isLgl w:val="false"/>
      <w:suff w:val="tab"/>
      <w:lvlText w:val=""/>
      <w:lvlJc w:val="left"/>
      <w:pPr>
        <w:ind w:left="720" w:hanging="360"/>
      </w:pPr>
      <w:rPr>
        <w:rFonts w:ascii="Symbol" w:hAnsi="Symbol" w:eastAsia="Calibri"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
    <w:multiLevelType w:val="hybridMultilevel"/>
    <w:lvl w:ilvl="0">
      <w:start w:val="1"/>
      <w:numFmt w:val="decimal"/>
      <w:isLgl w:val="false"/>
      <w:suff w:val="tab"/>
      <w:lvlText w:val="6.%1."/>
      <w:lvlJc w:val="left"/>
      <w:pPr>
        <w:ind w:left="1212" w:hanging="360"/>
      </w:pPr>
      <w:rPr>
        <w:u w:val="none"/>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5">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6">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8">
    <w:multiLevelType w:val="hybridMultilevel"/>
    <w:lvl w:ilvl="0">
      <w:start w:val="1"/>
      <w:numFmt w:val="decimal"/>
      <w:isLgl w:val="false"/>
      <w:suff w:val="tab"/>
      <w:lvlText w:val="%1."/>
      <w:lvlJc w:val="left"/>
      <w:pPr>
        <w:ind w:left="720" w:hanging="360"/>
      </w:pPr>
      <w:rPr>
        <w:rFonts w:ascii="Calibri" w:hAnsi="Calibri" w:eastAsia="Calibri"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8.%1."/>
      <w:lvlJc w:val="left"/>
      <w:pPr>
        <w:ind w:left="1429" w:hanging="360"/>
      </w:pPr>
      <w:rPr>
        <w:u w:val="none"/>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0">
    <w:multiLevelType w:val="hybridMultilevel"/>
    <w:lvl w:ilvl="0">
      <w:start w:val="1"/>
      <w:numFmt w:val="decimal"/>
      <w:isLgl w:val="false"/>
      <w:suff w:val="tab"/>
      <w:lvlText w:val="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4.%1."/>
      <w:lvlJc w:val="left"/>
      <w:pPr>
        <w:ind w:left="786" w:hanging="360"/>
      </w:p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12">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decimal"/>
      <w:isLgl w:val="false"/>
      <w:suff w:val="tab"/>
      <w:lvlText w:val="1.%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5.%1."/>
      <w:lvlJc w:val="left"/>
      <w:pPr>
        <w:ind w:left="644" w:hanging="360"/>
      </w:p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16">
    <w:multiLevelType w:val="hybridMultilevel"/>
    <w:lvl w:ilvl="0">
      <w:start w:val="1"/>
      <w:numFmt w:val="decimal"/>
      <w:isLgl w:val="false"/>
      <w:suff w:val="tab"/>
      <w:lvlText w:val="5.%1."/>
      <w:lvlJc w:val="left"/>
      <w:pPr>
        <w:ind w:left="213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7">
    <w:multiLevelType w:val="hybridMultilevel"/>
    <w:lvl w:ilvl="0">
      <w:start w:val="1"/>
      <w:numFmt w:val="decimal"/>
      <w:isLgl w:val="false"/>
      <w:suff w:val="tab"/>
      <w:lvlText w:val="4.%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num w:numId="1">
    <w:abstractNumId w:val="0"/>
  </w:num>
  <w:num w:numId="2">
    <w:abstractNumId w:val="8"/>
  </w:num>
  <w:num w:numId="3">
    <w:abstractNumId w:val="3"/>
  </w:num>
  <w:num w:numId="4">
    <w:abstractNumId w:val="4"/>
  </w:num>
  <w:num w:numId="5">
    <w:abstractNumId w:val="16"/>
  </w:num>
  <w:num w:numId="6">
    <w:abstractNumId w:val="7"/>
  </w:num>
  <w:num w:numId="7">
    <w:abstractNumId w:val="2"/>
  </w:num>
  <w:num w:numId="8">
    <w:abstractNumId w:val="17"/>
  </w:num>
  <w:num w:numId="9">
    <w:abstractNumId w:val="6"/>
  </w:num>
  <w:num w:numId="10">
    <w:abstractNumId w:val="10"/>
  </w:num>
  <w:num w:numId="11">
    <w:abstractNumId w:val="12"/>
  </w:num>
  <w:num w:numId="12">
    <w:abstractNumId w:val="9"/>
  </w:num>
  <w:num w:numId="13">
    <w:abstractNumId w:val="14"/>
  </w:num>
  <w:num w:numId="14">
    <w:abstractNumId w:val="5"/>
  </w:num>
  <w:num w:numId="15">
    <w:abstractNumId w:val="13"/>
  </w:num>
  <w:num w:numId="16">
    <w:abstractNumId w:val="11"/>
  </w:num>
  <w:num w:numId="17">
    <w:abstractNumId w:val="1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70"/>
    <w:next w:val="670"/>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70"/>
    <w:next w:val="670"/>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70"/>
    <w:next w:val="670"/>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70"/>
    <w:next w:val="670"/>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70"/>
    <w:next w:val="670"/>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70"/>
    <w:next w:val="670"/>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70"/>
    <w:next w:val="670"/>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70"/>
    <w:next w:val="670"/>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70"/>
    <w:next w:val="670"/>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670"/>
    <w:next w:val="670"/>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670"/>
    <w:next w:val="670"/>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70"/>
    <w:next w:val="670"/>
    <w:link w:val="39"/>
    <w:uiPriority w:val="29"/>
    <w:qFormat/>
    <w:pPr>
      <w:ind w:left="720" w:right="720"/>
    </w:pPr>
    <w:rPr>
      <w:i/>
    </w:rPr>
  </w:style>
  <w:style w:type="character" w:styleId="39">
    <w:name w:val="Quote Char"/>
    <w:link w:val="38"/>
    <w:uiPriority w:val="29"/>
    <w:rPr>
      <w:i/>
    </w:rPr>
  </w:style>
  <w:style w:type="paragraph" w:styleId="40">
    <w:name w:val="Intense Quote"/>
    <w:basedOn w:val="670"/>
    <w:next w:val="670"/>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70"/>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670"/>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670"/>
    <w:next w:val="670"/>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70"/>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670"/>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70"/>
    <w:next w:val="670"/>
    <w:uiPriority w:val="39"/>
    <w:unhideWhenUsed/>
    <w:pPr>
      <w:ind w:left="0" w:right="0" w:firstLine="0"/>
      <w:spacing w:after="57"/>
    </w:pPr>
  </w:style>
  <w:style w:type="paragraph" w:styleId="182">
    <w:name w:val="toc 2"/>
    <w:basedOn w:val="670"/>
    <w:next w:val="670"/>
    <w:uiPriority w:val="39"/>
    <w:unhideWhenUsed/>
    <w:pPr>
      <w:ind w:left="283" w:right="0" w:firstLine="0"/>
      <w:spacing w:after="57"/>
    </w:pPr>
  </w:style>
  <w:style w:type="paragraph" w:styleId="183">
    <w:name w:val="toc 3"/>
    <w:basedOn w:val="670"/>
    <w:next w:val="670"/>
    <w:uiPriority w:val="39"/>
    <w:unhideWhenUsed/>
    <w:pPr>
      <w:ind w:left="567" w:right="0" w:firstLine="0"/>
      <w:spacing w:after="57"/>
    </w:pPr>
  </w:style>
  <w:style w:type="paragraph" w:styleId="184">
    <w:name w:val="toc 4"/>
    <w:basedOn w:val="670"/>
    <w:next w:val="670"/>
    <w:uiPriority w:val="39"/>
    <w:unhideWhenUsed/>
    <w:pPr>
      <w:ind w:left="850" w:right="0" w:firstLine="0"/>
      <w:spacing w:after="57"/>
    </w:pPr>
  </w:style>
  <w:style w:type="paragraph" w:styleId="185">
    <w:name w:val="toc 5"/>
    <w:basedOn w:val="670"/>
    <w:next w:val="670"/>
    <w:uiPriority w:val="39"/>
    <w:unhideWhenUsed/>
    <w:pPr>
      <w:ind w:left="1134" w:right="0" w:firstLine="0"/>
      <w:spacing w:after="57"/>
    </w:pPr>
  </w:style>
  <w:style w:type="paragraph" w:styleId="186">
    <w:name w:val="toc 6"/>
    <w:basedOn w:val="670"/>
    <w:next w:val="670"/>
    <w:uiPriority w:val="39"/>
    <w:unhideWhenUsed/>
    <w:pPr>
      <w:ind w:left="1417" w:right="0" w:firstLine="0"/>
      <w:spacing w:after="57"/>
    </w:pPr>
  </w:style>
  <w:style w:type="paragraph" w:styleId="187">
    <w:name w:val="toc 7"/>
    <w:basedOn w:val="670"/>
    <w:next w:val="670"/>
    <w:uiPriority w:val="39"/>
    <w:unhideWhenUsed/>
    <w:pPr>
      <w:ind w:left="1701" w:right="0" w:firstLine="0"/>
      <w:spacing w:after="57"/>
    </w:pPr>
  </w:style>
  <w:style w:type="paragraph" w:styleId="188">
    <w:name w:val="toc 8"/>
    <w:basedOn w:val="670"/>
    <w:next w:val="670"/>
    <w:uiPriority w:val="39"/>
    <w:unhideWhenUsed/>
    <w:pPr>
      <w:ind w:left="1984" w:right="0" w:firstLine="0"/>
      <w:spacing w:after="57"/>
    </w:pPr>
  </w:style>
  <w:style w:type="paragraph" w:styleId="189">
    <w:name w:val="toc 9"/>
    <w:basedOn w:val="670"/>
    <w:next w:val="670"/>
    <w:uiPriority w:val="39"/>
    <w:unhideWhenUsed/>
    <w:pPr>
      <w:ind w:left="2268" w:right="0" w:firstLine="0"/>
      <w:spacing w:after="57"/>
    </w:pPr>
  </w:style>
  <w:style w:type="paragraph" w:styleId="190">
    <w:name w:val="TOC Heading"/>
    <w:uiPriority w:val="39"/>
    <w:unhideWhenUsed/>
  </w:style>
  <w:style w:type="paragraph" w:styleId="191">
    <w:name w:val="table of figures"/>
    <w:basedOn w:val="670"/>
    <w:next w:val="670"/>
    <w:uiPriority w:val="99"/>
    <w:unhideWhenUsed/>
    <w:pPr>
      <w:spacing w:after="0" w:afterAutospacing="0"/>
    </w:pPr>
  </w:style>
  <w:style w:type="paragraph" w:styleId="670" w:default="1">
    <w:name w:val="Normal"/>
    <w:next w:val="670"/>
    <w:link w:val="670"/>
    <w:qFormat/>
    <w:pPr>
      <w:spacing w:after="200" w:line="276" w:lineRule="auto"/>
    </w:pPr>
    <w:rPr>
      <w:sz w:val="22"/>
      <w:szCs w:val="22"/>
      <w:lang w:val="ru-RU" w:eastAsia="en-US" w:bidi="ar-SA"/>
    </w:rPr>
  </w:style>
  <w:style w:type="paragraph" w:styleId="671">
    <w:name w:val="Заголовок 1,H1,co,Document Header1,Введение...,Б1,Heading 1iz,Б11,Заголовок параграфа (1.),Section,Section Heading,level2 hdg,h1,Level 1 Topic Heading,app heading 1,ITT t1,II+,I,H11,H12,H13,H14,H15,H16,H17,H18,H111,H121,H131,H141,H151,H161"/>
    <w:basedOn w:val="670"/>
    <w:next w:val="670"/>
    <w:link w:val="701"/>
    <w:qFormat/>
    <w:pPr>
      <w:keepNext/>
      <w:spacing w:before="240" w:after="60" w:line="240" w:lineRule="auto"/>
      <w:outlineLvl w:val="0"/>
    </w:pPr>
    <w:rPr>
      <w:rFonts w:ascii="Arial" w:hAnsi="Arial" w:eastAsia="Times New Roman" w:cs="Arial"/>
      <w:b/>
      <w:bCs/>
      <w:sz w:val="32"/>
      <w:szCs w:val="32"/>
      <w:lang w:eastAsia="ru-RU"/>
    </w:rPr>
  </w:style>
  <w:style w:type="paragraph" w:styleId="672">
    <w:name w:val="Заголовок 2,H2,2,h2,Б2,RTC,iz2,Раздел Знак,H2 Знак,Заголовок 21,Заголовок 1 + Times New Roman,14 пт,Перед:  0 пт,После:  0 пт Знак,12 пт,После:  0 пт,Numbered text 3,HD2,Heading 2 Hidden,Gliederung2,Gliederung,Indented Heading,H21,H22,H23"/>
    <w:basedOn w:val="670"/>
    <w:next w:val="670"/>
    <w:link w:val="730"/>
    <w:qFormat/>
    <w:pPr>
      <w:jc w:val="center"/>
      <w:keepNext/>
      <w:spacing w:after="0" w:line="240" w:lineRule="auto"/>
      <w:outlineLvl w:val="1"/>
    </w:pPr>
    <w:rPr>
      <w:rFonts w:ascii="Times New Roman" w:hAnsi="Times New Roman" w:eastAsia="Arial Unicode MS"/>
      <w:b/>
      <w:sz w:val="36"/>
      <w:szCs w:val="20"/>
      <w:lang w:eastAsia="ru-RU"/>
    </w:rPr>
  </w:style>
  <w:style w:type="paragraph" w:styleId="673">
    <w:name w:val="Заголовок 3,Знак,Б3,RTC 3,iz3,Подраздел,римская нумерация"/>
    <w:basedOn w:val="670"/>
    <w:next w:val="670"/>
    <w:link w:val="703"/>
    <w:qFormat/>
    <w:pPr>
      <w:ind w:left="680" w:right="284" w:hanging="113"/>
      <w:keepNext/>
      <w:spacing w:before="240" w:after="60" w:line="240" w:lineRule="auto"/>
      <w:tabs>
        <w:tab w:val="num" w:pos="720" w:leader="none"/>
      </w:tabs>
      <w:outlineLvl w:val="2"/>
    </w:pPr>
    <w:rPr>
      <w:rFonts w:ascii="Times New Roman" w:hAnsi="Times New Roman" w:eastAsia="Times New Roman"/>
      <w:b/>
      <w:sz w:val="24"/>
      <w:szCs w:val="20"/>
      <w:lang w:val="en-US" w:eastAsia="en-US"/>
    </w:rPr>
  </w:style>
  <w:style w:type="paragraph" w:styleId="674">
    <w:name w:val="Заголовок 4,Пункт Знак,Заголовок_4,Б4,RTC 4"/>
    <w:basedOn w:val="670"/>
    <w:next w:val="670"/>
    <w:link w:val="704"/>
    <w:unhideWhenUsed/>
    <w:qFormat/>
    <w:pPr>
      <w:keepNext/>
      <w:spacing w:before="240" w:after="60" w:line="240" w:lineRule="auto"/>
      <w:outlineLvl w:val="3"/>
    </w:pPr>
    <w:rPr>
      <w:rFonts w:eastAsia="Times New Roman"/>
      <w:b/>
      <w:bCs/>
      <w:sz w:val="28"/>
      <w:szCs w:val="28"/>
      <w:lang w:eastAsia="ru-RU"/>
    </w:rPr>
  </w:style>
  <w:style w:type="paragraph" w:styleId="675">
    <w:name w:val="Заголовок 5"/>
    <w:basedOn w:val="670"/>
    <w:next w:val="670"/>
    <w:link w:val="705"/>
    <w:uiPriority w:val="99"/>
    <w:qFormat/>
    <w:pPr>
      <w:ind w:left="5664" w:firstLine="6"/>
      <w:keepNext/>
      <w:spacing w:after="0" w:line="240" w:lineRule="auto"/>
      <w:outlineLvl w:val="4"/>
    </w:pPr>
    <w:rPr>
      <w:rFonts w:eastAsia="Times New Roman"/>
      <w:b/>
      <w:bCs/>
      <w:i/>
      <w:iCs/>
      <w:sz w:val="26"/>
      <w:szCs w:val="26"/>
      <w:lang w:eastAsia="ru-RU"/>
    </w:rPr>
  </w:style>
  <w:style w:type="paragraph" w:styleId="676">
    <w:name w:val="Заголовок 6"/>
    <w:basedOn w:val="670"/>
    <w:next w:val="670"/>
    <w:link w:val="706"/>
    <w:uiPriority w:val="99"/>
    <w:qFormat/>
    <w:pPr>
      <w:jc w:val="both"/>
      <w:keepNext/>
      <w:spacing w:after="0" w:line="240" w:lineRule="auto"/>
      <w:outlineLvl w:val="5"/>
    </w:pPr>
    <w:rPr>
      <w:rFonts w:ascii="Times New Roman" w:hAnsi="Times New Roman" w:eastAsia="Times New Roman"/>
      <w:sz w:val="28"/>
      <w:szCs w:val="28"/>
      <w:lang w:eastAsia="ru-RU"/>
    </w:rPr>
  </w:style>
  <w:style w:type="character" w:styleId="677">
    <w:name w:val="Основной шрифт абзаца"/>
    <w:next w:val="677"/>
    <w:link w:val="670"/>
    <w:uiPriority w:val="1"/>
    <w:unhideWhenUsed/>
  </w:style>
  <w:style w:type="table" w:styleId="678">
    <w:name w:val="Обычная таблица"/>
    <w:next w:val="678"/>
    <w:link w:val="670"/>
    <w:uiPriority w:val="99"/>
    <w:semiHidden/>
    <w:unhideWhenUsed/>
    <w:qFormat/>
    <w:tblPr/>
  </w:style>
  <w:style w:type="numbering" w:styleId="679">
    <w:name w:val="Нет списка"/>
    <w:next w:val="679"/>
    <w:link w:val="670"/>
    <w:uiPriority w:val="99"/>
    <w:semiHidden/>
    <w:unhideWhenUsed/>
  </w:style>
  <w:style w:type="table" w:styleId="680">
    <w:name w:val="Сетка таблицы"/>
    <w:basedOn w:val="678"/>
    <w:next w:val="680"/>
    <w:link w:val="670"/>
    <w:uiPriority w:val="39"/>
    <w:pPr>
      <w:spacing w:after="0" w:line="240" w:lineRule="auto"/>
    </w:pPr>
    <w:tblPr/>
  </w:style>
  <w:style w:type="paragraph" w:styleId="681">
    <w:name w:val="List Paragraph"/>
    <w:basedOn w:val="670"/>
    <w:next w:val="681"/>
    <w:link w:val="670"/>
    <w:pPr>
      <w:ind w:left="708"/>
      <w:spacing w:after="0" w:line="240" w:lineRule="auto"/>
    </w:pPr>
    <w:rPr>
      <w:rFonts w:ascii="Times New Roman" w:hAnsi="Times New Roman" w:eastAsia="Times New Roman"/>
      <w:sz w:val="24"/>
      <w:szCs w:val="24"/>
      <w:lang w:eastAsia="ru-RU"/>
    </w:rPr>
  </w:style>
  <w:style w:type="paragraph" w:styleId="682">
    <w:name w:val="Основной текст с отступом,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670"/>
    <w:next w:val="682"/>
    <w:link w:val="683"/>
    <w:uiPriority w:val="99"/>
    <w:pPr>
      <w:ind w:left="283"/>
      <w:spacing w:after="120" w:line="240" w:lineRule="auto"/>
    </w:pPr>
    <w:rPr>
      <w:rFonts w:ascii="Times New Roman" w:hAnsi="Times New Roman" w:eastAsia="Times New Roman"/>
      <w:sz w:val="24"/>
      <w:szCs w:val="24"/>
      <w:lang w:val="en-US" w:eastAsia="en-US"/>
    </w:rPr>
  </w:style>
  <w:style w:type="character" w:styleId="683">
    <w:name w:val="Основной текст с отступом Знак,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next w:val="683"/>
    <w:link w:val="682"/>
    <w:uiPriority w:val="99"/>
    <w:rPr>
      <w:rFonts w:ascii="Times New Roman" w:hAnsi="Times New Roman" w:eastAsia="Times New Roman"/>
      <w:sz w:val="24"/>
      <w:szCs w:val="24"/>
    </w:rPr>
  </w:style>
  <w:style w:type="paragraph" w:styleId="684">
    <w:name w:val="Текст выноски"/>
    <w:basedOn w:val="670"/>
    <w:next w:val="684"/>
    <w:link w:val="685"/>
    <w:uiPriority w:val="99"/>
    <w:semiHidden/>
    <w:unhideWhenUsed/>
    <w:pPr>
      <w:spacing w:after="0" w:line="240" w:lineRule="auto"/>
    </w:pPr>
    <w:rPr>
      <w:rFonts w:ascii="Tahoma" w:hAnsi="Tahoma"/>
      <w:sz w:val="16"/>
      <w:szCs w:val="16"/>
      <w:lang w:val="en-US"/>
    </w:rPr>
  </w:style>
  <w:style w:type="character" w:styleId="685">
    <w:name w:val="Текст выноски Знак"/>
    <w:next w:val="685"/>
    <w:link w:val="684"/>
    <w:uiPriority w:val="99"/>
    <w:semiHidden/>
    <w:rPr>
      <w:rFonts w:ascii="Tahoma" w:hAnsi="Tahoma" w:cs="Tahoma"/>
      <w:sz w:val="16"/>
      <w:szCs w:val="16"/>
      <w:lang w:eastAsia="en-US"/>
    </w:rPr>
  </w:style>
  <w:style w:type="paragraph" w:styleId="686">
    <w:name w:val="Стиль3"/>
    <w:basedOn w:val="670"/>
    <w:next w:val="686"/>
    <w:link w:val="687"/>
    <w:pPr>
      <w:ind w:firstLine="567"/>
      <w:jc w:val="both"/>
      <w:keepLines/>
      <w:spacing w:after="0" w:line="360" w:lineRule="auto"/>
    </w:pPr>
    <w:rPr>
      <w:rFonts w:ascii="Arial" w:hAnsi="Arial" w:eastAsia="Times New Roman"/>
      <w:lang w:val="en-US" w:eastAsia="en-US"/>
    </w:rPr>
  </w:style>
  <w:style w:type="character" w:styleId="687">
    <w:name w:val="Стиль3 Знак"/>
    <w:next w:val="687"/>
    <w:link w:val="686"/>
    <w:rPr>
      <w:rFonts w:ascii="Arial" w:hAnsi="Arial" w:eastAsia="Times New Roman" w:cs="Arial"/>
      <w:sz w:val="22"/>
      <w:szCs w:val="22"/>
    </w:rPr>
  </w:style>
  <w:style w:type="paragraph" w:styleId="688">
    <w:name w:val="Верхний колонтитул"/>
    <w:basedOn w:val="670"/>
    <w:next w:val="688"/>
    <w:link w:val="689"/>
    <w:unhideWhenUsed/>
    <w:pPr>
      <w:tabs>
        <w:tab w:val="center" w:pos="4677" w:leader="none"/>
        <w:tab w:val="right" w:pos="9355" w:leader="none"/>
      </w:tabs>
    </w:pPr>
    <w:rPr>
      <w:lang w:val="en-US"/>
    </w:rPr>
  </w:style>
  <w:style w:type="character" w:styleId="689">
    <w:name w:val="Верхний колонтитул Знак"/>
    <w:next w:val="689"/>
    <w:link w:val="688"/>
    <w:rPr>
      <w:sz w:val="22"/>
      <w:szCs w:val="22"/>
      <w:lang w:eastAsia="en-US"/>
    </w:rPr>
  </w:style>
  <w:style w:type="paragraph" w:styleId="690">
    <w:name w:val="Нижний колонтитул"/>
    <w:basedOn w:val="670"/>
    <w:next w:val="690"/>
    <w:link w:val="691"/>
    <w:uiPriority w:val="99"/>
    <w:unhideWhenUsed/>
    <w:pPr>
      <w:tabs>
        <w:tab w:val="center" w:pos="4677" w:leader="none"/>
        <w:tab w:val="right" w:pos="9355" w:leader="none"/>
      </w:tabs>
    </w:pPr>
    <w:rPr>
      <w:lang w:val="en-US"/>
    </w:rPr>
  </w:style>
  <w:style w:type="character" w:styleId="691">
    <w:name w:val="Нижний колонтитул Знак"/>
    <w:next w:val="691"/>
    <w:link w:val="690"/>
    <w:uiPriority w:val="99"/>
    <w:rPr>
      <w:sz w:val="22"/>
      <w:szCs w:val="22"/>
      <w:lang w:eastAsia="en-US"/>
    </w:rPr>
  </w:style>
  <w:style w:type="character" w:styleId="692">
    <w:name w:val="Font Style39"/>
    <w:next w:val="692"/>
    <w:link w:val="670"/>
    <w:uiPriority w:val="99"/>
    <w:rPr>
      <w:rFonts w:ascii="Times New Roman" w:hAnsi="Times New Roman" w:cs="Times New Roman"/>
      <w:b/>
      <w:bCs/>
      <w:sz w:val="28"/>
      <w:szCs w:val="28"/>
    </w:rPr>
  </w:style>
  <w:style w:type="character" w:styleId="693">
    <w:name w:val="Знак примечания"/>
    <w:next w:val="693"/>
    <w:link w:val="670"/>
    <w:unhideWhenUsed/>
    <w:rPr>
      <w:sz w:val="16"/>
      <w:szCs w:val="16"/>
    </w:rPr>
  </w:style>
  <w:style w:type="paragraph" w:styleId="694">
    <w:name w:val="Текст примечания"/>
    <w:basedOn w:val="670"/>
    <w:next w:val="694"/>
    <w:link w:val="695"/>
    <w:unhideWhenUsed/>
    <w:rPr>
      <w:sz w:val="20"/>
      <w:szCs w:val="20"/>
      <w:lang w:val="en-US"/>
    </w:rPr>
  </w:style>
  <w:style w:type="character" w:styleId="695">
    <w:name w:val="Текст примечания Знак"/>
    <w:next w:val="695"/>
    <w:link w:val="694"/>
    <w:rPr>
      <w:lang w:eastAsia="en-US"/>
    </w:rPr>
  </w:style>
  <w:style w:type="paragraph" w:styleId="696">
    <w:name w:val="Тема примечания"/>
    <w:basedOn w:val="694"/>
    <w:next w:val="694"/>
    <w:link w:val="697"/>
    <w:unhideWhenUsed/>
    <w:rPr>
      <w:b/>
      <w:bCs/>
      <w:lang w:val="en-US"/>
    </w:rPr>
  </w:style>
  <w:style w:type="character" w:styleId="697">
    <w:name w:val="Тема примечания Знак"/>
    <w:next w:val="697"/>
    <w:link w:val="696"/>
    <w:rPr>
      <w:b/>
      <w:bCs/>
      <w:lang w:eastAsia="en-US"/>
    </w:rPr>
  </w:style>
  <w:style w:type="paragraph" w:styleId="698">
    <w:name w:val="Абзац списка"/>
    <w:basedOn w:val="670"/>
    <w:next w:val="698"/>
    <w:link w:val="670"/>
    <w:uiPriority w:val="34"/>
    <w:qFormat/>
    <w:pPr>
      <w:ind w:left="708"/>
      <w:spacing w:after="0" w:line="240" w:lineRule="auto"/>
    </w:pPr>
    <w:rPr>
      <w:rFonts w:ascii="Times New Roman" w:hAnsi="Times New Roman" w:eastAsia="Times New Roman"/>
      <w:sz w:val="24"/>
      <w:szCs w:val="24"/>
      <w:lang w:eastAsia="ru-RU"/>
    </w:rPr>
  </w:style>
  <w:style w:type="paragraph" w:styleId="699">
    <w:name w:val="Текст"/>
    <w:basedOn w:val="670"/>
    <w:next w:val="699"/>
    <w:link w:val="700"/>
    <w:unhideWhenUsed/>
    <w:pPr>
      <w:spacing w:after="0" w:line="240" w:lineRule="auto"/>
    </w:pPr>
    <w:rPr>
      <w:rFonts w:eastAsia="Times New Roman"/>
      <w:szCs w:val="21"/>
      <w:lang w:val="en-US"/>
    </w:rPr>
  </w:style>
  <w:style w:type="character" w:styleId="700">
    <w:name w:val="Текст Знак"/>
    <w:next w:val="700"/>
    <w:link w:val="699"/>
    <w:rPr>
      <w:rFonts w:eastAsia="Times New Roman" w:cs="Times New Roman"/>
      <w:sz w:val="22"/>
      <w:szCs w:val="21"/>
      <w:lang w:eastAsia="en-US"/>
    </w:rPr>
  </w:style>
  <w:style w:type="character" w:styleId="701">
    <w:name w:val="Заголовок 1 Знак,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next w:val="701"/>
    <w:link w:val="671"/>
    <w:rPr>
      <w:rFonts w:ascii="Arial" w:hAnsi="Arial" w:eastAsia="Times New Roman" w:cs="Arial"/>
      <w:b/>
      <w:bCs/>
      <w:sz w:val="32"/>
      <w:szCs w:val="32"/>
    </w:rPr>
  </w:style>
  <w:style w:type="character" w:styleId="702">
    <w:name w:val="Заголовок 2 Знак"/>
    <w:next w:val="702"/>
    <w:link w:val="670"/>
    <w:uiPriority w:val="9"/>
    <w:semiHidden/>
    <w:rPr>
      <w:rFonts w:ascii="Calibri Light" w:hAnsi="Calibri Light" w:eastAsia="Times New Roman" w:cs="Times New Roman"/>
      <w:b/>
      <w:bCs/>
      <w:i/>
      <w:iCs/>
      <w:sz w:val="28"/>
      <w:szCs w:val="28"/>
      <w:lang w:eastAsia="en-US"/>
    </w:rPr>
  </w:style>
  <w:style w:type="character" w:styleId="703">
    <w:name w:val="Заголовок 3 Знак,Знак Знак,Б3 Знак,RTC 3 Знак,iz3 Знак,Подраздел Знак,римская нумерация Знак"/>
    <w:next w:val="703"/>
    <w:link w:val="673"/>
    <w:rPr>
      <w:rFonts w:ascii="Times New Roman" w:hAnsi="Times New Roman" w:eastAsia="Times New Roman"/>
      <w:b/>
      <w:sz w:val="24"/>
      <w:lang w:val="en-US" w:eastAsia="en-US"/>
    </w:rPr>
  </w:style>
  <w:style w:type="character" w:styleId="704">
    <w:name w:val="Заголовок 4 Знак,Пункт Знак Знак1,Заголовок_4 Знак1,Б4 Знак1,RTC 4 Знак1"/>
    <w:next w:val="704"/>
    <w:link w:val="674"/>
    <w:rPr>
      <w:rFonts w:eastAsia="Times New Roman"/>
      <w:b/>
      <w:bCs/>
      <w:sz w:val="28"/>
      <w:szCs w:val="28"/>
    </w:rPr>
  </w:style>
  <w:style w:type="character" w:styleId="705">
    <w:name w:val="Заголовок 5 Знак"/>
    <w:next w:val="705"/>
    <w:link w:val="675"/>
    <w:uiPriority w:val="99"/>
    <w:rPr>
      <w:rFonts w:eastAsia="Times New Roman"/>
      <w:b/>
      <w:bCs/>
      <w:i/>
      <w:iCs/>
      <w:sz w:val="26"/>
      <w:szCs w:val="26"/>
    </w:rPr>
  </w:style>
  <w:style w:type="character" w:styleId="706">
    <w:name w:val="Заголовок 6 Знак"/>
    <w:next w:val="706"/>
    <w:link w:val="676"/>
    <w:uiPriority w:val="99"/>
    <w:rPr>
      <w:rFonts w:ascii="Times New Roman" w:hAnsi="Times New Roman" w:eastAsia="Times New Roman"/>
      <w:sz w:val="28"/>
      <w:szCs w:val="28"/>
    </w:rPr>
  </w:style>
  <w:style w:type="paragraph" w:styleId="707">
    <w:name w:val="Style5"/>
    <w:basedOn w:val="670"/>
    <w:next w:val="707"/>
    <w:link w:val="670"/>
    <w:uiPriority w:val="99"/>
    <w:pPr>
      <w:ind w:firstLine="706"/>
      <w:jc w:val="both"/>
      <w:spacing w:after="0" w:line="320" w:lineRule="exact"/>
      <w:widowControl w:val="off"/>
    </w:pPr>
    <w:rPr>
      <w:rFonts w:ascii="Times New Roman" w:hAnsi="Times New Roman" w:eastAsia="Times New Roman"/>
      <w:sz w:val="24"/>
      <w:szCs w:val="24"/>
      <w:lang w:eastAsia="ru-RU"/>
    </w:rPr>
  </w:style>
  <w:style w:type="paragraph" w:styleId="708">
    <w:name w:val="Default"/>
    <w:next w:val="708"/>
    <w:link w:val="670"/>
    <w:rPr>
      <w:rFonts w:ascii="Times New Roman" w:hAnsi="Times New Roman"/>
      <w:color w:val="000000"/>
      <w:sz w:val="24"/>
      <w:szCs w:val="24"/>
      <w:lang w:val="ru-RU" w:eastAsia="en-US" w:bidi="ar-SA"/>
    </w:rPr>
  </w:style>
  <w:style w:type="paragraph" w:styleId="709">
    <w:name w:val="Рецензия"/>
    <w:next w:val="709"/>
    <w:link w:val="670"/>
    <w:hidden/>
    <w:uiPriority w:val="99"/>
    <w:semiHidden/>
    <w:rPr>
      <w:rFonts w:ascii="Times New Roman" w:hAnsi="Times New Roman" w:eastAsia="Times New Roman"/>
      <w:sz w:val="24"/>
      <w:szCs w:val="24"/>
      <w:lang w:val="ru-RU" w:eastAsia="ru-RU" w:bidi="ar-SA"/>
    </w:rPr>
  </w:style>
  <w:style w:type="character" w:styleId="710">
    <w:name w:val="webofficeattributevalue"/>
    <w:next w:val="710"/>
    <w:link w:val="670"/>
  </w:style>
  <w:style w:type="character" w:styleId="711">
    <w:name w:val="Строгий"/>
    <w:next w:val="711"/>
    <w:link w:val="670"/>
    <w:uiPriority w:val="22"/>
    <w:qFormat/>
    <w:rPr>
      <w:b/>
      <w:bCs/>
    </w:rPr>
  </w:style>
  <w:style w:type="paragraph" w:styleId="712">
    <w:name w:val="Основной текст с отступом 2"/>
    <w:basedOn w:val="670"/>
    <w:next w:val="712"/>
    <w:link w:val="713"/>
    <w:pPr>
      <w:ind w:left="567"/>
      <w:jc w:val="both"/>
      <w:spacing w:after="0" w:line="240" w:lineRule="auto"/>
    </w:pPr>
    <w:rPr>
      <w:rFonts w:ascii="Times New Roman" w:hAnsi="Times New Roman" w:eastAsia="Times New Roman"/>
      <w:sz w:val="24"/>
      <w:szCs w:val="20"/>
      <w:lang w:val="en-US" w:eastAsia="en-US"/>
    </w:rPr>
  </w:style>
  <w:style w:type="character" w:styleId="713">
    <w:name w:val="Основной текст с отступом 2 Знак"/>
    <w:next w:val="713"/>
    <w:link w:val="712"/>
    <w:rPr>
      <w:rFonts w:ascii="Times New Roman" w:hAnsi="Times New Roman" w:eastAsia="Times New Roman"/>
      <w:sz w:val="24"/>
      <w:lang w:val="en-US" w:eastAsia="en-US"/>
    </w:rPr>
  </w:style>
  <w:style w:type="paragraph" w:styleId="714">
    <w:name w:val="Пункт"/>
    <w:basedOn w:val="670"/>
    <w:next w:val="714"/>
    <w:link w:val="719"/>
    <w:pPr>
      <w:jc w:val="both"/>
      <w:spacing w:after="0" w:line="360" w:lineRule="auto"/>
    </w:pPr>
    <w:rPr>
      <w:rFonts w:ascii="Times New Roman" w:hAnsi="Times New Roman" w:eastAsia="Times New Roman"/>
      <w:sz w:val="28"/>
      <w:szCs w:val="20"/>
      <w:lang w:val="en-US" w:eastAsia="en-US"/>
    </w:rPr>
  </w:style>
  <w:style w:type="paragraph" w:styleId="715">
    <w:name w:val="Таблица шапка"/>
    <w:basedOn w:val="670"/>
    <w:next w:val="715"/>
    <w:link w:val="670"/>
    <w:pPr>
      <w:ind w:left="57" w:right="57"/>
      <w:keepNext/>
      <w:spacing w:before="40" w:after="40" w:line="240" w:lineRule="auto"/>
    </w:pPr>
    <w:rPr>
      <w:rFonts w:ascii="Times New Roman" w:hAnsi="Times New Roman" w:eastAsia="Times New Roman"/>
      <w:szCs w:val="24"/>
      <w:lang w:eastAsia="ru-RU"/>
    </w:rPr>
  </w:style>
  <w:style w:type="paragraph" w:styleId="716">
    <w:name w:val="Таблица текст"/>
    <w:basedOn w:val="670"/>
    <w:next w:val="716"/>
    <w:link w:val="670"/>
    <w:pPr>
      <w:ind w:left="57" w:right="57"/>
      <w:spacing w:before="40" w:after="40" w:line="240" w:lineRule="auto"/>
    </w:pPr>
    <w:rPr>
      <w:rFonts w:ascii="Times New Roman" w:hAnsi="Times New Roman" w:eastAsia="Times New Roman"/>
      <w:sz w:val="24"/>
      <w:szCs w:val="24"/>
      <w:lang w:eastAsia="ru-RU"/>
    </w:rPr>
  </w:style>
  <w:style w:type="table" w:styleId="717">
    <w:name w:val="Сетка таблицы1"/>
    <w:basedOn w:val="678"/>
    <w:next w:val="680"/>
    <w:link w:val="670"/>
    <w:rPr>
      <w:rFonts w:ascii="Times New Roman" w:hAnsi="Times New Roman" w:eastAsia="Times New Roman"/>
    </w:rPr>
    <w:tblPr/>
  </w:style>
  <w:style w:type="paragraph" w:styleId="718">
    <w:name w:val="Знак Знак Знак Знак Знак Знак"/>
    <w:basedOn w:val="670"/>
    <w:next w:val="718"/>
    <w:link w:val="670"/>
    <w:pPr>
      <w:spacing w:after="160" w:line="240" w:lineRule="exact"/>
      <w:tabs>
        <w:tab w:val="num" w:pos="360" w:leader="none"/>
      </w:tabs>
    </w:pPr>
    <w:rPr>
      <w:rFonts w:ascii="Verdana" w:hAnsi="Verdana" w:eastAsia="Times New Roman" w:cs="Verdana"/>
      <w:sz w:val="20"/>
      <w:szCs w:val="20"/>
      <w:lang w:val="en-US"/>
    </w:rPr>
  </w:style>
  <w:style w:type="character" w:styleId="719">
    <w:name w:val="Пункт Знак1,Заголовок 4 Знак1,Заголовок 4 Знак Знак,Пункт Знак Знак,Заголовок_4 Знак,Б4 Знак,RTC 4 Знак"/>
    <w:next w:val="719"/>
    <w:link w:val="714"/>
    <w:rPr>
      <w:rFonts w:ascii="Times New Roman" w:hAnsi="Times New Roman" w:eastAsia="Times New Roman"/>
      <w:sz w:val="28"/>
      <w:lang w:val="en-US" w:eastAsia="en-US"/>
    </w:rPr>
  </w:style>
  <w:style w:type="character" w:styleId="720">
    <w:name w:val="Основной текст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next w:val="720"/>
    <w:link w:val="734"/>
    <w:rPr>
      <w:sz w:val="28"/>
    </w:rPr>
  </w:style>
  <w:style w:type="character" w:styleId="721">
    <w:name w:val="Гиперссылка"/>
    <w:next w:val="721"/>
    <w:link w:val="670"/>
    <w:uiPriority w:val="99"/>
    <w:unhideWhenUsed/>
    <w:rPr>
      <w:color w:val="0000ff"/>
      <w:u w:val="single"/>
    </w:rPr>
  </w:style>
  <w:style w:type="paragraph" w:styleId="722">
    <w:name w:val="Подподпункт"/>
    <w:basedOn w:val="670"/>
    <w:next w:val="722"/>
    <w:link w:val="753"/>
    <w:pPr>
      <w:numPr>
        <w:ilvl w:val="4"/>
        <w:numId w:val="1"/>
      </w:numPr>
      <w:jc w:val="both"/>
      <w:spacing w:after="0" w:line="360" w:lineRule="auto"/>
      <w:widowControl w:val="off"/>
    </w:pPr>
    <w:rPr>
      <w:rFonts w:ascii="Times New Roman" w:hAnsi="Times New Roman" w:eastAsia="Times New Roman"/>
      <w:sz w:val="28"/>
      <w:szCs w:val="20"/>
      <w:lang w:eastAsia="ru-RU"/>
    </w:rPr>
  </w:style>
  <w:style w:type="table" w:styleId="723">
    <w:name w:val="TableGrid1"/>
    <w:next w:val="723"/>
    <w:link w:val="670"/>
    <w:rPr>
      <w:rFonts w:eastAsia="Times New Roman"/>
      <w:sz w:val="22"/>
      <w:szCs w:val="22"/>
      <w:lang w:val="ru-RU" w:eastAsia="ru-RU" w:bidi="ar-SA"/>
    </w:rPr>
    <w:tblPr/>
  </w:style>
  <w:style w:type="numbering" w:styleId="724">
    <w:name w:val="Нет списка1"/>
    <w:next w:val="679"/>
    <w:link w:val="670"/>
    <w:uiPriority w:val="99"/>
    <w:semiHidden/>
    <w:unhideWhenUsed/>
  </w:style>
  <w:style w:type="paragraph" w:styleId="725">
    <w:name w:val="заголовок 5"/>
    <w:basedOn w:val="670"/>
    <w:next w:val="670"/>
    <w:link w:val="670"/>
    <w:pPr>
      <w:ind w:left="1008" w:hanging="1008"/>
      <w:spacing w:before="240" w:after="60" w:line="240" w:lineRule="auto"/>
      <w:widowControl w:val="off"/>
      <w:tabs>
        <w:tab w:val="num" w:pos="1008" w:leader="none"/>
      </w:tabs>
    </w:pPr>
    <w:rPr>
      <w:rFonts w:ascii="Times New Roman" w:hAnsi="Times New Roman" w:eastAsia="Times New Roman"/>
      <w:sz w:val="24"/>
      <w:szCs w:val="20"/>
      <w:lang w:eastAsia="ru-RU"/>
    </w:rPr>
  </w:style>
  <w:style w:type="character" w:styleId="726">
    <w:name w:val="Просмотренная гиперссылка"/>
    <w:next w:val="726"/>
    <w:link w:val="670"/>
    <w:uiPriority w:val="99"/>
    <w:unhideWhenUsed/>
    <w:rPr>
      <w:color w:val="954f72"/>
      <w:u w:val="single"/>
    </w:rPr>
  </w:style>
  <w:style w:type="paragraph" w:styleId="727">
    <w:name w:val="Цитата1"/>
    <w:basedOn w:val="670"/>
    <w:next w:val="727"/>
    <w:link w:val="670"/>
    <w:uiPriority w:val="99"/>
    <w:pPr>
      <w:ind w:left="34" w:right="32" w:firstLine="595"/>
      <w:jc w:val="both"/>
      <w:spacing w:after="0" w:line="360" w:lineRule="auto"/>
      <w:shd w:val="clear" w:color="auto" w:fill="ffffff"/>
    </w:pPr>
    <w:rPr>
      <w:rFonts w:ascii="Arial" w:hAnsi="Arial" w:eastAsia="Times New Roman"/>
      <w:color w:val="000000"/>
      <w:szCs w:val="20"/>
      <w:lang w:eastAsia="ru-RU"/>
    </w:rPr>
  </w:style>
  <w:style w:type="paragraph" w:styleId="728">
    <w:name w:val="Без интервала"/>
    <w:next w:val="728"/>
    <w:link w:val="729"/>
    <w:uiPriority w:val="1"/>
    <w:qFormat/>
    <w:rPr>
      <w:sz w:val="22"/>
      <w:szCs w:val="22"/>
      <w:lang w:val="ru-RU" w:eastAsia="en-US" w:bidi="ar-SA"/>
    </w:rPr>
  </w:style>
  <w:style w:type="character" w:styleId="729">
    <w:name w:val="Без интервала Знак"/>
    <w:next w:val="729"/>
    <w:link w:val="728"/>
    <w:uiPriority w:val="1"/>
    <w:rPr>
      <w:sz w:val="22"/>
      <w:szCs w:val="22"/>
      <w:lang w:eastAsia="en-US"/>
    </w:rPr>
  </w:style>
  <w:style w:type="character" w:styleId="730">
    <w:name w:val="Заголовок 2 Знак1,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next w:val="730"/>
    <w:link w:val="672"/>
    <w:rPr>
      <w:rFonts w:ascii="Times New Roman" w:hAnsi="Times New Roman" w:eastAsia="Arial Unicode MS"/>
      <w:b/>
      <w:sz w:val="36"/>
    </w:rPr>
  </w:style>
  <w:style w:type="character" w:styleId="731">
    <w:name w:val="Heading 2 Char,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next w:val="731"/>
    <w:link w:val="670"/>
    <w:uiPriority w:val="9"/>
    <w:semiHidden/>
    <w:rPr>
      <w:rFonts w:ascii="Cambria" w:hAnsi="Cambria" w:eastAsia="Times New Roman" w:cs="Times New Roman"/>
      <w:b/>
      <w:bCs/>
      <w:i/>
      <w:iCs/>
      <w:sz w:val="28"/>
      <w:szCs w:val="28"/>
    </w:rPr>
  </w:style>
  <w:style w:type="character" w:styleId="732">
    <w:name w:val="комментарий"/>
    <w:next w:val="732"/>
    <w:link w:val="670"/>
    <w:uiPriority w:val="99"/>
    <w:rPr>
      <w:rFonts w:cs="Times New Roman"/>
      <w:b/>
      <w:bCs/>
      <w:i/>
      <w:iCs/>
    </w:rPr>
  </w:style>
  <w:style w:type="paragraph" w:styleId="733">
    <w:name w:val="Нумерованный список"/>
    <w:basedOn w:val="734"/>
    <w:next w:val="733"/>
    <w:link w:val="670"/>
    <w:uiPriority w:val="99"/>
    <w:pPr>
      <w:ind w:firstLine="567"/>
      <w:jc w:val="both"/>
      <w:spacing w:before="60" w:after="0" w:line="360" w:lineRule="auto"/>
      <w:tabs>
        <w:tab w:val="num" w:pos="1134" w:leader="none"/>
      </w:tabs>
    </w:pPr>
    <w:rPr>
      <w:szCs w:val="28"/>
    </w:rPr>
  </w:style>
  <w:style w:type="paragraph" w:styleId="734">
    <w:name w:val="Основной текст,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670"/>
    <w:next w:val="734"/>
    <w:link w:val="720"/>
    <w:pPr>
      <w:spacing w:after="120" w:line="240" w:lineRule="auto"/>
    </w:pPr>
    <w:rPr>
      <w:sz w:val="28"/>
      <w:szCs w:val="20"/>
      <w:lang w:eastAsia="ru-RU"/>
    </w:rPr>
  </w:style>
  <w:style w:type="character" w:styleId="735">
    <w:name w:val="Основной текст Знак1"/>
    <w:next w:val="735"/>
    <w:link w:val="670"/>
    <w:rPr>
      <w:sz w:val="22"/>
      <w:szCs w:val="22"/>
      <w:lang w:eastAsia="en-US"/>
    </w:rPr>
  </w:style>
  <w:style w:type="paragraph" w:styleId="736">
    <w:name w:val="Основной текст 2"/>
    <w:basedOn w:val="670"/>
    <w:next w:val="736"/>
    <w:link w:val="737"/>
    <w:uiPriority w:val="99"/>
    <w:pPr>
      <w:spacing w:after="0" w:line="240" w:lineRule="auto"/>
    </w:pPr>
    <w:rPr>
      <w:rFonts w:ascii="Times New Roman" w:hAnsi="Times New Roman" w:eastAsia="Times New Roman"/>
      <w:sz w:val="24"/>
      <w:szCs w:val="24"/>
      <w:lang w:eastAsia="ru-RU"/>
    </w:rPr>
  </w:style>
  <w:style w:type="character" w:styleId="737">
    <w:name w:val="Основной текст 2 Знак"/>
    <w:next w:val="737"/>
    <w:link w:val="736"/>
    <w:uiPriority w:val="99"/>
    <w:rPr>
      <w:rFonts w:ascii="Times New Roman" w:hAnsi="Times New Roman" w:eastAsia="Times New Roman"/>
      <w:sz w:val="24"/>
      <w:szCs w:val="24"/>
    </w:rPr>
  </w:style>
  <w:style w:type="paragraph" w:styleId="738">
    <w:name w:val="Название"/>
    <w:basedOn w:val="670"/>
    <w:next w:val="738"/>
    <w:link w:val="739"/>
    <w:uiPriority w:val="99"/>
    <w:qFormat/>
    <w:pPr>
      <w:jc w:val="center"/>
      <w:spacing w:after="0" w:line="240" w:lineRule="auto"/>
    </w:pPr>
    <w:rPr>
      <w:rFonts w:ascii="Cambria" w:hAnsi="Cambria" w:eastAsia="Times New Roman"/>
      <w:b/>
      <w:bCs/>
      <w:sz w:val="32"/>
      <w:szCs w:val="32"/>
      <w:lang w:eastAsia="ru-RU"/>
    </w:rPr>
  </w:style>
  <w:style w:type="character" w:styleId="739">
    <w:name w:val="Название Знак"/>
    <w:next w:val="739"/>
    <w:link w:val="738"/>
    <w:uiPriority w:val="99"/>
    <w:rPr>
      <w:rFonts w:ascii="Cambria" w:hAnsi="Cambria" w:eastAsia="Times New Roman"/>
      <w:b/>
      <w:bCs/>
      <w:sz w:val="32"/>
      <w:szCs w:val="32"/>
    </w:rPr>
  </w:style>
  <w:style w:type="paragraph" w:styleId="740">
    <w:name w:val="ConsPlusNormal"/>
    <w:next w:val="740"/>
    <w:link w:val="670"/>
    <w:uiPriority w:val="99"/>
    <w:pPr>
      <w:ind w:firstLine="720"/>
    </w:pPr>
    <w:rPr>
      <w:rFonts w:ascii="Arial" w:hAnsi="Arial" w:eastAsia="Times New Roman" w:cs="Arial"/>
      <w:sz w:val="24"/>
      <w:szCs w:val="24"/>
      <w:lang w:val="ru-RU" w:eastAsia="ru-RU" w:bidi="ar-SA"/>
    </w:rPr>
  </w:style>
  <w:style w:type="paragraph" w:styleId="741">
    <w:name w:val="Пункт б/н"/>
    <w:basedOn w:val="670"/>
    <w:next w:val="741"/>
    <w:link w:val="670"/>
    <w:uiPriority w:val="99"/>
    <w:pPr>
      <w:ind w:left="1134"/>
      <w:jc w:val="both"/>
      <w:spacing w:after="0" w:line="360" w:lineRule="auto"/>
      <w:tabs>
        <w:tab w:val="left" w:pos="1134" w:leader="none"/>
      </w:tabs>
    </w:pPr>
    <w:rPr>
      <w:rFonts w:ascii="Times New Roman" w:hAnsi="Times New Roman" w:eastAsia="Times New Roman"/>
      <w:sz w:val="28"/>
      <w:szCs w:val="28"/>
      <w:lang w:eastAsia="ru-RU"/>
    </w:rPr>
  </w:style>
  <w:style w:type="paragraph" w:styleId="742">
    <w:name w:val="Основной текст 3"/>
    <w:basedOn w:val="670"/>
    <w:next w:val="742"/>
    <w:link w:val="743"/>
    <w:uiPriority w:val="99"/>
    <w:pPr>
      <w:ind w:firstLine="567"/>
      <w:jc w:val="both"/>
      <w:spacing w:after="120" w:line="360" w:lineRule="auto"/>
    </w:pPr>
    <w:rPr>
      <w:rFonts w:ascii="Times New Roman" w:hAnsi="Times New Roman" w:eastAsia="Times New Roman"/>
      <w:sz w:val="16"/>
      <w:szCs w:val="16"/>
      <w:lang w:eastAsia="ru-RU"/>
    </w:rPr>
  </w:style>
  <w:style w:type="character" w:styleId="743">
    <w:name w:val="Основной текст 3 Знак"/>
    <w:next w:val="743"/>
    <w:link w:val="742"/>
    <w:uiPriority w:val="99"/>
    <w:rPr>
      <w:rFonts w:ascii="Times New Roman" w:hAnsi="Times New Roman" w:eastAsia="Times New Roman"/>
      <w:sz w:val="16"/>
      <w:szCs w:val="16"/>
    </w:rPr>
  </w:style>
  <w:style w:type="paragraph" w:styleId="744">
    <w:name w:val="Знак Знак Знак1 Знак Знак Знак Знак Знак Знак Знак"/>
    <w:basedOn w:val="670"/>
    <w:next w:val="744"/>
    <w:link w:val="670"/>
    <w:uiPriority w:val="99"/>
    <w:pPr>
      <w:spacing w:after="160" w:line="240" w:lineRule="exact"/>
    </w:pPr>
    <w:rPr>
      <w:rFonts w:ascii="Verdana" w:hAnsi="Verdana" w:eastAsia="Times New Roman" w:cs="Verdana"/>
      <w:sz w:val="20"/>
      <w:szCs w:val="20"/>
      <w:lang w:val="en-US"/>
    </w:rPr>
  </w:style>
  <w:style w:type="paragraph" w:styleId="745">
    <w:name w:val="Текст сноски"/>
    <w:basedOn w:val="670"/>
    <w:next w:val="745"/>
    <w:link w:val="746"/>
    <w:pPr>
      <w:spacing w:after="0" w:line="240" w:lineRule="auto"/>
    </w:pPr>
    <w:rPr>
      <w:rFonts w:ascii="Times New Roman" w:hAnsi="Times New Roman" w:eastAsia="Times New Roman"/>
      <w:sz w:val="20"/>
      <w:szCs w:val="20"/>
      <w:lang w:eastAsia="ru-RU"/>
    </w:rPr>
  </w:style>
  <w:style w:type="character" w:styleId="746">
    <w:name w:val="Текст сноски Знак"/>
    <w:next w:val="746"/>
    <w:link w:val="745"/>
    <w:rPr>
      <w:rFonts w:ascii="Times New Roman" w:hAnsi="Times New Roman" w:eastAsia="Times New Roman"/>
    </w:rPr>
  </w:style>
  <w:style w:type="character" w:styleId="747">
    <w:name w:val="Знак сноски"/>
    <w:next w:val="747"/>
    <w:link w:val="670"/>
    <w:uiPriority w:val="99"/>
    <w:rPr>
      <w:rFonts w:cs="Times New Roman"/>
      <w:vertAlign w:val="superscript"/>
    </w:rPr>
  </w:style>
  <w:style w:type="paragraph" w:styleId="748">
    <w:name w:val="Схема документа"/>
    <w:basedOn w:val="670"/>
    <w:next w:val="748"/>
    <w:link w:val="749"/>
    <w:uiPriority w:val="99"/>
    <w:pPr>
      <w:spacing w:after="0" w:line="240" w:lineRule="auto"/>
      <w:shd w:val="clear" w:color="auto" w:fill="000080"/>
    </w:pPr>
    <w:rPr>
      <w:rFonts w:ascii="Times New Roman" w:hAnsi="Times New Roman" w:eastAsia="Times New Roman"/>
      <w:sz w:val="2"/>
      <w:szCs w:val="2"/>
      <w:lang w:eastAsia="ru-RU"/>
    </w:rPr>
  </w:style>
  <w:style w:type="character" w:styleId="749">
    <w:name w:val="Схема документа Знак"/>
    <w:next w:val="749"/>
    <w:link w:val="748"/>
    <w:uiPriority w:val="99"/>
    <w:rPr>
      <w:rFonts w:ascii="Times New Roman" w:hAnsi="Times New Roman" w:eastAsia="Times New Roman"/>
      <w:sz w:val="2"/>
      <w:szCs w:val="2"/>
      <w:shd w:val="clear" w:color="auto" w:fill="000080"/>
    </w:rPr>
  </w:style>
  <w:style w:type="paragraph" w:styleId="750">
    <w:name w:val="Цитата"/>
    <w:basedOn w:val="670"/>
    <w:next w:val="750"/>
    <w:link w:val="670"/>
    <w:uiPriority w:val="99"/>
    <w:pPr>
      <w:ind w:left="560" w:right="-66" w:firstLine="560"/>
      <w:jc w:val="both"/>
      <w:spacing w:before="240" w:after="0" w:line="260" w:lineRule="auto"/>
      <w:widowControl w:val="off"/>
    </w:pPr>
    <w:rPr>
      <w:rFonts w:ascii="Times New Roman" w:hAnsi="Times New Roman" w:eastAsia="Times New Roman"/>
      <w:sz w:val="24"/>
      <w:szCs w:val="24"/>
      <w:lang w:eastAsia="ru-RU"/>
    </w:rPr>
  </w:style>
  <w:style w:type="character" w:styleId="751">
    <w:name w:val="Знак Знак3"/>
    <w:next w:val="751"/>
    <w:link w:val="670"/>
    <w:uiPriority w:val="99"/>
    <w:rPr>
      <w:rFonts w:ascii="Courier New" w:hAnsi="Courier New" w:cs="Courier New"/>
      <w:b/>
      <w:bCs/>
      <w:lang w:val="ru-RU" w:eastAsia="ru-RU"/>
    </w:rPr>
  </w:style>
  <w:style w:type="character" w:styleId="752">
    <w:name w:val="Номер страницы"/>
    <w:next w:val="752"/>
    <w:link w:val="670"/>
    <w:uiPriority w:val="99"/>
    <w:rPr>
      <w:rFonts w:cs="Times New Roman"/>
    </w:rPr>
  </w:style>
  <w:style w:type="character" w:styleId="753">
    <w:name w:val="Подподпункт Знак"/>
    <w:next w:val="753"/>
    <w:link w:val="722"/>
    <w:rPr>
      <w:rFonts w:ascii="Times New Roman" w:hAnsi="Times New Roman" w:eastAsia="Times New Roman"/>
      <w:sz w:val="28"/>
    </w:rPr>
  </w:style>
  <w:style w:type="paragraph" w:styleId="754">
    <w:name w:val="служебная информация"/>
    <w:basedOn w:val="670"/>
    <w:next w:val="754"/>
    <w:link w:val="670"/>
    <w:uiPriority w:val="99"/>
    <w:pPr>
      <w:ind w:left="1800" w:right="900" w:hanging="1800"/>
      <w:spacing w:after="0" w:line="240" w:lineRule="auto"/>
      <w:tabs>
        <w:tab w:val="left" w:pos="4335" w:leader="none"/>
      </w:tabs>
    </w:pPr>
    <w:rPr>
      <w:rFonts w:ascii="Arial" w:hAnsi="Arial" w:eastAsia="Times New Roman" w:cs="Arial"/>
      <w:sz w:val="16"/>
      <w:szCs w:val="16"/>
      <w:lang w:eastAsia="ru-RU"/>
    </w:rPr>
  </w:style>
  <w:style w:type="paragraph" w:styleId="755">
    <w:name w:val="Подпункт"/>
    <w:basedOn w:val="714"/>
    <w:next w:val="755"/>
    <w:link w:val="670"/>
    <w:pPr>
      <w:ind w:left="2880" w:hanging="360"/>
      <w:tabs>
        <w:tab w:val="num" w:pos="2880" w:leader="none"/>
      </w:tabs>
    </w:pPr>
    <w:rPr>
      <w:szCs w:val="28"/>
      <w:lang w:val="ru-RU" w:eastAsia="ru-RU"/>
    </w:rPr>
  </w:style>
  <w:style w:type="paragraph" w:styleId="756">
    <w:name w:val="Пункт2"/>
    <w:basedOn w:val="714"/>
    <w:next w:val="756"/>
    <w:link w:val="757"/>
    <w:uiPriority w:val="99"/>
    <w:pPr>
      <w:numPr>
        <w:ilvl w:val="2"/>
        <w:numId w:val="0"/>
      </w:numPr>
      <w:ind w:left="2160" w:hanging="180"/>
      <w:jc w:val="left"/>
      <w:keepNext/>
      <w:spacing w:before="240" w:after="120" w:line="240" w:lineRule="auto"/>
      <w:tabs>
        <w:tab w:val="num" w:pos="2160" w:leader="none"/>
      </w:tabs>
      <w:outlineLvl w:val="2"/>
    </w:pPr>
    <w:rPr>
      <w:b/>
      <w:bCs/>
      <w:szCs w:val="28"/>
      <w:lang w:val="ru-RU" w:eastAsia="ru-RU"/>
    </w:rPr>
  </w:style>
  <w:style w:type="character" w:styleId="757">
    <w:name w:val="Пункт2 Знак"/>
    <w:next w:val="757"/>
    <w:link w:val="756"/>
    <w:uiPriority w:val="99"/>
    <w:rPr>
      <w:rFonts w:ascii="Times New Roman" w:hAnsi="Times New Roman" w:eastAsia="Times New Roman"/>
      <w:b/>
      <w:bCs/>
      <w:sz w:val="28"/>
      <w:szCs w:val="28"/>
    </w:rPr>
  </w:style>
  <w:style w:type="paragraph" w:styleId="758">
    <w:name w:val="Абзац списка1"/>
    <w:basedOn w:val="670"/>
    <w:next w:val="758"/>
    <w:link w:val="670"/>
    <w:uiPriority w:val="34"/>
    <w:qFormat/>
    <w:pPr>
      <w:contextualSpacing/>
      <w:ind w:left="720"/>
      <w:spacing w:after="0" w:line="240" w:lineRule="auto"/>
    </w:pPr>
    <w:rPr>
      <w:rFonts w:ascii="Times New Roman" w:hAnsi="Times New Roman" w:eastAsia="Times New Roman"/>
      <w:sz w:val="24"/>
      <w:szCs w:val="24"/>
      <w:lang w:eastAsia="ru-RU"/>
    </w:rPr>
  </w:style>
  <w:style w:type="character" w:styleId="759">
    <w:name w:val="Выделение"/>
    <w:next w:val="759"/>
    <w:link w:val="670"/>
    <w:uiPriority w:val="20"/>
    <w:qFormat/>
    <w:rPr>
      <w:rFonts w:cs="Times New Roman"/>
      <w:i/>
      <w:iCs/>
    </w:rPr>
  </w:style>
  <w:style w:type="character" w:styleId="760">
    <w:name w:val="defaultlabelstyle1"/>
    <w:next w:val="760"/>
    <w:link w:val="670"/>
    <w:rPr>
      <w:rFonts w:ascii="Verdana" w:hAnsi="Verdana"/>
      <w:color w:val="333333"/>
    </w:rPr>
  </w:style>
  <w:style w:type="character" w:styleId="761">
    <w:name w:val="Основной текст_"/>
    <w:next w:val="761"/>
    <w:link w:val="762"/>
    <w:rPr>
      <w:sz w:val="23"/>
      <w:szCs w:val="23"/>
      <w:shd w:val="clear" w:color="auto" w:fill="ffffff"/>
    </w:rPr>
  </w:style>
  <w:style w:type="paragraph" w:styleId="762">
    <w:name w:val="Основной текст10"/>
    <w:basedOn w:val="670"/>
    <w:next w:val="762"/>
    <w:link w:val="761"/>
    <w:pPr>
      <w:ind w:hanging="460"/>
      <w:jc w:val="both"/>
      <w:spacing w:after="1440" w:line="86" w:lineRule="exact"/>
      <w:shd w:val="clear" w:color="auto" w:fill="ffffff"/>
    </w:pPr>
    <w:rPr>
      <w:sz w:val="23"/>
      <w:szCs w:val="23"/>
      <w:shd w:val="clear" w:color="auto" w:fill="ffffff"/>
      <w:lang w:eastAsia="ru-RU"/>
    </w:rPr>
  </w:style>
  <w:style w:type="character" w:styleId="763">
    <w:name w:val="Основной текст (13)_"/>
    <w:next w:val="763"/>
    <w:link w:val="764"/>
    <w:rPr>
      <w:sz w:val="23"/>
      <w:szCs w:val="23"/>
      <w:shd w:val="clear" w:color="auto" w:fill="ffffff"/>
    </w:rPr>
  </w:style>
  <w:style w:type="paragraph" w:styleId="764">
    <w:name w:val="Основной текст (13)"/>
    <w:basedOn w:val="670"/>
    <w:next w:val="764"/>
    <w:link w:val="763"/>
    <w:pPr>
      <w:ind w:hanging="980"/>
      <w:jc w:val="both"/>
      <w:spacing w:after="600" w:line="240" w:lineRule="atLeast"/>
      <w:shd w:val="clear" w:color="auto" w:fill="ffffff"/>
    </w:pPr>
    <w:rPr>
      <w:sz w:val="23"/>
      <w:szCs w:val="23"/>
      <w:shd w:val="clear" w:color="auto" w:fill="ffffff"/>
      <w:lang w:eastAsia="ru-RU"/>
    </w:rPr>
  </w:style>
  <w:style w:type="paragraph" w:styleId="765">
    <w:name w:val="10cxspmiddle"/>
    <w:basedOn w:val="670"/>
    <w:next w:val="765"/>
    <w:link w:val="670"/>
    <w:pPr>
      <w:spacing w:before="100" w:beforeAutospacing="1" w:after="100" w:afterAutospacing="1" w:line="240" w:lineRule="auto"/>
    </w:pPr>
    <w:rPr>
      <w:rFonts w:ascii="Times New Roman" w:hAnsi="Times New Roman" w:eastAsia="Times New Roman"/>
      <w:sz w:val="24"/>
      <w:szCs w:val="24"/>
      <w:lang w:eastAsia="ru-RU"/>
    </w:rPr>
  </w:style>
  <w:style w:type="paragraph" w:styleId="766">
    <w:name w:val="10cxsplast"/>
    <w:basedOn w:val="670"/>
    <w:next w:val="766"/>
    <w:link w:val="670"/>
    <w:pPr>
      <w:spacing w:before="100" w:beforeAutospacing="1" w:after="100" w:afterAutospacing="1" w:line="240" w:lineRule="auto"/>
    </w:pPr>
    <w:rPr>
      <w:rFonts w:ascii="Times New Roman" w:hAnsi="Times New Roman" w:eastAsia="Times New Roman"/>
      <w:sz w:val="24"/>
      <w:szCs w:val="24"/>
      <w:lang w:eastAsia="ru-RU"/>
    </w:rPr>
  </w:style>
  <w:style w:type="character" w:styleId="767">
    <w:name w:val="numbers"/>
    <w:next w:val="767"/>
    <w:link w:val="670"/>
  </w:style>
  <w:style w:type="paragraph" w:styleId="768">
    <w:name w:val="Заголовок оглавления"/>
    <w:basedOn w:val="671"/>
    <w:next w:val="670"/>
    <w:link w:val="670"/>
    <w:uiPriority w:val="39"/>
    <w:unhideWhenUsed/>
    <w:qFormat/>
    <w:pPr>
      <w:keepLines/>
      <w:spacing w:after="0" w:line="259" w:lineRule="auto"/>
      <w:outlineLvl w:val="9"/>
    </w:pPr>
    <w:rPr>
      <w:rFonts w:ascii="Calibri Light" w:hAnsi="Calibri Light" w:cs="Times New Roman"/>
      <w:b w:val="0"/>
      <w:bCs w:val="0"/>
      <w:color w:val="2e74b5"/>
    </w:rPr>
  </w:style>
  <w:style w:type="paragraph" w:styleId="769">
    <w:name w:val="Оглавление 1"/>
    <w:basedOn w:val="670"/>
    <w:next w:val="670"/>
    <w:link w:val="670"/>
    <w:uiPriority w:val="39"/>
    <w:unhideWhenUsed/>
    <w:pPr>
      <w:ind w:left="-851"/>
      <w:spacing w:after="0" w:line="240" w:lineRule="auto"/>
      <w:tabs>
        <w:tab w:val="right" w:pos="10336" w:leader="dot"/>
      </w:tabs>
    </w:pPr>
    <w:rPr>
      <w:rFonts w:ascii="Times New Roman" w:hAnsi="Times New Roman" w:eastAsia="Times New Roman"/>
      <w:sz w:val="24"/>
      <w:szCs w:val="24"/>
      <w:lang w:eastAsia="ru-RU"/>
    </w:rPr>
  </w:style>
  <w:style w:type="paragraph" w:styleId="770">
    <w:name w:val="Таблица 1"/>
    <w:basedOn w:val="670"/>
    <w:next w:val="770"/>
    <w:link w:val="771"/>
    <w:qFormat/>
    <w:pPr>
      <w:ind w:right="-108"/>
      <w:spacing w:after="0" w:line="240" w:lineRule="auto"/>
      <w:widowControl w:val="off"/>
    </w:pPr>
    <w:rPr>
      <w:rFonts w:ascii="Times New Roman" w:hAnsi="Times New Roman" w:eastAsia="Times New Roman"/>
      <w:sz w:val="24"/>
      <w:szCs w:val="28"/>
      <w:lang w:eastAsia="ru-RU"/>
    </w:rPr>
  </w:style>
  <w:style w:type="character" w:styleId="771">
    <w:name w:val="Таблица 1 Знак"/>
    <w:next w:val="771"/>
    <w:link w:val="770"/>
    <w:rPr>
      <w:rFonts w:ascii="Times New Roman" w:hAnsi="Times New Roman" w:eastAsia="Times New Roman"/>
      <w:sz w:val="24"/>
      <w:szCs w:val="28"/>
    </w:rPr>
  </w:style>
  <w:style w:type="paragraph" w:styleId="772">
    <w:name w:val="П.З."/>
    <w:basedOn w:val="670"/>
    <w:next w:val="772"/>
    <w:link w:val="773"/>
    <w:pPr>
      <w:ind w:firstLine="851"/>
      <w:jc w:val="both"/>
      <w:spacing w:after="0" w:line="360" w:lineRule="auto"/>
    </w:pPr>
    <w:rPr>
      <w:rFonts w:ascii="Times New Roman" w:hAnsi="Times New Roman" w:eastAsia="Times New Roman"/>
      <w:sz w:val="28"/>
      <w:szCs w:val="28"/>
      <w:lang w:eastAsia="ru-RU"/>
    </w:rPr>
  </w:style>
  <w:style w:type="character" w:styleId="773">
    <w:name w:val="П.З. Знак"/>
    <w:next w:val="773"/>
    <w:link w:val="772"/>
    <w:rPr>
      <w:rFonts w:ascii="Times New Roman" w:hAnsi="Times New Roman" w:eastAsia="Times New Roman"/>
      <w:sz w:val="28"/>
      <w:szCs w:val="28"/>
    </w:rPr>
  </w:style>
  <w:style w:type="paragraph" w:styleId="774">
    <w:name w:val="Оглавление 3"/>
    <w:basedOn w:val="670"/>
    <w:next w:val="670"/>
    <w:link w:val="670"/>
    <w:uiPriority w:val="39"/>
    <w:unhideWhenUsed/>
    <w:pPr>
      <w:ind w:left="440"/>
    </w:pPr>
  </w:style>
  <w:style w:type="character" w:styleId="1315" w:default="1">
    <w:name w:val="Default Paragraph Font"/>
    <w:uiPriority w:val="1"/>
    <w:semiHidden/>
    <w:unhideWhenUsed/>
  </w:style>
  <w:style w:type="numbering" w:styleId="1316" w:default="1">
    <w:name w:val="No List"/>
    <w:uiPriority w:val="99"/>
    <w:semiHidden/>
    <w:unhideWhenUsed/>
  </w:style>
  <w:style w:type="table" w:styleId="1317"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МРСК Сибири</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gammel_ea</dc:creator>
  <cp:revision>5</cp:revision>
  <dcterms:created xsi:type="dcterms:W3CDTF">2023-08-20T11:01:00Z</dcterms:created>
  <dcterms:modified xsi:type="dcterms:W3CDTF">2025-03-18T11:40:11Z</dcterms:modified>
  <cp:version>1048576</cp:version>
</cp:coreProperties>
</file>